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A5" w:rsidRDefault="00A868A5" w:rsidP="00AA3E31">
      <w:pPr>
        <w:pStyle w:val="ListParagraph"/>
        <w:numPr>
          <w:ilvl w:val="0"/>
          <w:numId w:val="4"/>
        </w:numPr>
        <w:rPr>
          <w:rFonts w:asciiTheme="minorHAnsi" w:hAnsiTheme="minorHAnsi"/>
          <w:sz w:val="20"/>
          <w:szCs w:val="20"/>
        </w:rPr>
      </w:pPr>
      <w:r>
        <w:rPr>
          <w:rFonts w:asciiTheme="minorHAnsi" w:hAnsiTheme="minorHAnsi"/>
          <w:sz w:val="20"/>
          <w:szCs w:val="20"/>
        </w:rPr>
        <w:t>I am an OPS employee at a state agency. Am I automatically eligible for health insurance coverage?</w:t>
      </w:r>
    </w:p>
    <w:p w:rsidR="00A868A5" w:rsidRDefault="00A868A5" w:rsidP="00A868A5">
      <w:pPr>
        <w:ind w:left="360"/>
        <w:rPr>
          <w:rFonts w:asciiTheme="minorHAnsi" w:hAnsiTheme="minorHAnsi"/>
          <w:color w:val="365F91" w:themeColor="accent1" w:themeShade="BF"/>
          <w:sz w:val="20"/>
          <w:szCs w:val="20"/>
        </w:rPr>
      </w:pPr>
      <w:r w:rsidRPr="00A868A5">
        <w:rPr>
          <w:rFonts w:asciiTheme="minorHAnsi" w:hAnsiTheme="minorHAnsi"/>
          <w:color w:val="365F91" w:themeColor="accent1" w:themeShade="BF"/>
          <w:sz w:val="20"/>
          <w:szCs w:val="20"/>
        </w:rPr>
        <w:t>No. Federal guidelines say that employers must offer coverage to employees who work 30 hours per week or more on average. The guidelines further say that employers have to measure employees to determine their eligibility.</w:t>
      </w:r>
      <w:r>
        <w:rPr>
          <w:rFonts w:asciiTheme="minorHAnsi" w:hAnsiTheme="minorHAnsi"/>
          <w:color w:val="365F91" w:themeColor="accent1" w:themeShade="BF"/>
          <w:sz w:val="20"/>
          <w:szCs w:val="20"/>
        </w:rPr>
        <w:t xml:space="preserve"> We are working with state employers and People First to develop processes to accurately measure the hours OPS employees work</w:t>
      </w:r>
      <w:r w:rsidR="00774D00">
        <w:rPr>
          <w:rFonts w:asciiTheme="minorHAnsi" w:hAnsiTheme="minorHAnsi"/>
          <w:color w:val="365F91" w:themeColor="accent1" w:themeShade="BF"/>
          <w:sz w:val="20"/>
          <w:szCs w:val="20"/>
        </w:rPr>
        <w:t xml:space="preserve"> in a 12-month period.</w:t>
      </w:r>
    </w:p>
    <w:p w:rsidR="00774D00" w:rsidRDefault="00774D00" w:rsidP="00A868A5">
      <w:pPr>
        <w:ind w:left="360"/>
        <w:rPr>
          <w:rFonts w:asciiTheme="minorHAnsi" w:hAnsiTheme="minorHAnsi"/>
          <w:color w:val="365F91" w:themeColor="accent1" w:themeShade="BF"/>
          <w:sz w:val="20"/>
          <w:szCs w:val="20"/>
        </w:rPr>
      </w:pPr>
    </w:p>
    <w:p w:rsidR="00774D00" w:rsidRPr="00A868A5" w:rsidRDefault="00774D00" w:rsidP="00A868A5">
      <w:pPr>
        <w:ind w:left="36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However, if you are hired by a state employer April 2, 2013, or after and your employe</w:t>
      </w:r>
      <w:r w:rsidR="00900763">
        <w:rPr>
          <w:rFonts w:asciiTheme="minorHAnsi" w:hAnsiTheme="minorHAnsi"/>
          <w:color w:val="365F91" w:themeColor="accent1" w:themeShade="BF"/>
          <w:sz w:val="20"/>
          <w:szCs w:val="20"/>
        </w:rPr>
        <w:t>r</w:t>
      </w:r>
      <w:r>
        <w:rPr>
          <w:rFonts w:asciiTheme="minorHAnsi" w:hAnsiTheme="minorHAnsi"/>
          <w:color w:val="365F91" w:themeColor="accent1" w:themeShade="BF"/>
          <w:sz w:val="20"/>
          <w:szCs w:val="20"/>
        </w:rPr>
        <w:t xml:space="preserve"> reasonably expects you </w:t>
      </w:r>
      <w:r w:rsidR="00900763">
        <w:rPr>
          <w:rFonts w:asciiTheme="minorHAnsi" w:hAnsiTheme="minorHAnsi"/>
          <w:color w:val="365F91" w:themeColor="accent1" w:themeShade="BF"/>
          <w:sz w:val="20"/>
          <w:szCs w:val="20"/>
        </w:rPr>
        <w:t>to</w:t>
      </w:r>
      <w:r>
        <w:rPr>
          <w:rFonts w:asciiTheme="minorHAnsi" w:hAnsiTheme="minorHAnsi"/>
          <w:color w:val="365F91" w:themeColor="accent1" w:themeShade="BF"/>
          <w:sz w:val="20"/>
          <w:szCs w:val="20"/>
        </w:rPr>
        <w:t xml:space="preserve"> work 30 or more hours per week, you are automatically eligible for coverage.</w:t>
      </w:r>
    </w:p>
    <w:p w:rsidR="00A868A5" w:rsidRDefault="00A868A5" w:rsidP="00A868A5">
      <w:pPr>
        <w:rPr>
          <w:rFonts w:asciiTheme="minorHAnsi" w:hAnsiTheme="minorHAnsi"/>
          <w:sz w:val="20"/>
          <w:szCs w:val="20"/>
        </w:rPr>
      </w:pPr>
    </w:p>
    <w:p w:rsidR="0062771A" w:rsidRDefault="0062771A" w:rsidP="00774D00">
      <w:pPr>
        <w:pStyle w:val="ListParagraph"/>
        <w:numPr>
          <w:ilvl w:val="0"/>
          <w:numId w:val="4"/>
        </w:numPr>
        <w:rPr>
          <w:rFonts w:asciiTheme="minorHAnsi" w:hAnsiTheme="minorHAnsi"/>
          <w:sz w:val="20"/>
          <w:szCs w:val="20"/>
        </w:rPr>
      </w:pPr>
      <w:r>
        <w:rPr>
          <w:rFonts w:asciiTheme="minorHAnsi" w:hAnsiTheme="minorHAnsi"/>
          <w:sz w:val="20"/>
          <w:szCs w:val="20"/>
        </w:rPr>
        <w:t>I’m not called an OPS employee. Am I eligible?</w:t>
      </w:r>
    </w:p>
    <w:p w:rsidR="0062771A" w:rsidRDefault="008166A0" w:rsidP="0062771A">
      <w:pPr>
        <w:ind w:left="36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Yes, if you</w:t>
      </w:r>
      <w:r w:rsidRPr="0062771A">
        <w:rPr>
          <w:rFonts w:asciiTheme="minorHAnsi" w:hAnsiTheme="minorHAnsi"/>
          <w:color w:val="365F91" w:themeColor="accent1" w:themeShade="BF"/>
          <w:sz w:val="20"/>
          <w:szCs w:val="20"/>
        </w:rPr>
        <w:t xml:space="preserve"> work</w:t>
      </w:r>
      <w:r>
        <w:rPr>
          <w:rFonts w:asciiTheme="minorHAnsi" w:hAnsiTheme="minorHAnsi"/>
          <w:sz w:val="20"/>
          <w:szCs w:val="20"/>
        </w:rPr>
        <w:t xml:space="preserve"> </w:t>
      </w:r>
      <w:r w:rsidRPr="00A868A5">
        <w:rPr>
          <w:rFonts w:asciiTheme="minorHAnsi" w:hAnsiTheme="minorHAnsi"/>
          <w:color w:val="365F91" w:themeColor="accent1" w:themeShade="BF"/>
          <w:sz w:val="20"/>
          <w:szCs w:val="20"/>
        </w:rPr>
        <w:t>30 hours per week or more on average</w:t>
      </w:r>
      <w:r>
        <w:rPr>
          <w:rFonts w:asciiTheme="minorHAnsi" w:hAnsiTheme="minorHAnsi"/>
          <w:color w:val="365F91" w:themeColor="accent1" w:themeShade="BF"/>
          <w:sz w:val="20"/>
          <w:szCs w:val="20"/>
        </w:rPr>
        <w:t xml:space="preserve"> over a 12-month period. “OPS (Other Personal Service) employee” is a term the state uses for variable hour or temporary employees. </w:t>
      </w:r>
      <w:r w:rsidR="0062771A">
        <w:rPr>
          <w:rFonts w:asciiTheme="minorHAnsi" w:hAnsiTheme="minorHAnsi"/>
          <w:color w:val="365F91" w:themeColor="accent1" w:themeShade="BF"/>
          <w:sz w:val="20"/>
          <w:szCs w:val="20"/>
        </w:rPr>
        <w:t xml:space="preserve">The following </w:t>
      </w:r>
      <w:r>
        <w:rPr>
          <w:rFonts w:asciiTheme="minorHAnsi" w:hAnsiTheme="minorHAnsi"/>
          <w:color w:val="365F91" w:themeColor="accent1" w:themeShade="BF"/>
          <w:sz w:val="20"/>
          <w:szCs w:val="20"/>
        </w:rPr>
        <w:t xml:space="preserve">list of </w:t>
      </w:r>
      <w:r w:rsidR="0062771A">
        <w:rPr>
          <w:rFonts w:asciiTheme="minorHAnsi" w:hAnsiTheme="minorHAnsi"/>
          <w:color w:val="365F91" w:themeColor="accent1" w:themeShade="BF"/>
          <w:sz w:val="20"/>
          <w:szCs w:val="20"/>
        </w:rPr>
        <w:t xml:space="preserve">employees </w:t>
      </w:r>
      <w:r>
        <w:rPr>
          <w:rFonts w:asciiTheme="minorHAnsi" w:hAnsiTheme="minorHAnsi"/>
          <w:color w:val="365F91" w:themeColor="accent1" w:themeShade="BF"/>
          <w:sz w:val="20"/>
          <w:szCs w:val="20"/>
        </w:rPr>
        <w:t xml:space="preserve">is an example of those </w:t>
      </w:r>
      <w:r w:rsidR="0062771A">
        <w:rPr>
          <w:rFonts w:asciiTheme="minorHAnsi" w:hAnsiTheme="minorHAnsi"/>
          <w:color w:val="365F91" w:themeColor="accent1" w:themeShade="BF"/>
          <w:sz w:val="20"/>
          <w:szCs w:val="20"/>
        </w:rPr>
        <w:t>who</w:t>
      </w:r>
      <w:r w:rsidR="00CF05F8">
        <w:rPr>
          <w:rFonts w:asciiTheme="minorHAnsi" w:hAnsiTheme="minorHAnsi"/>
          <w:color w:val="365F91" w:themeColor="accent1" w:themeShade="BF"/>
          <w:sz w:val="20"/>
          <w:szCs w:val="20"/>
        </w:rPr>
        <w:t>se work hours</w:t>
      </w:r>
      <w:r w:rsidR="0062771A">
        <w:rPr>
          <w:rFonts w:asciiTheme="minorHAnsi" w:hAnsiTheme="minorHAnsi"/>
          <w:color w:val="365F91" w:themeColor="accent1" w:themeShade="BF"/>
          <w:sz w:val="20"/>
          <w:szCs w:val="20"/>
        </w:rPr>
        <w:t xml:space="preserve"> will be</w:t>
      </w:r>
      <w:r>
        <w:rPr>
          <w:rFonts w:asciiTheme="minorHAnsi" w:hAnsiTheme="minorHAnsi"/>
          <w:color w:val="365F91" w:themeColor="accent1" w:themeShade="BF"/>
          <w:sz w:val="20"/>
          <w:szCs w:val="20"/>
        </w:rPr>
        <w:t xml:space="preserve"> measured</w:t>
      </w:r>
      <w:r w:rsidR="0062771A">
        <w:rPr>
          <w:rFonts w:asciiTheme="minorHAnsi" w:hAnsiTheme="minorHAnsi"/>
          <w:color w:val="365F91" w:themeColor="accent1" w:themeShade="BF"/>
          <w:sz w:val="20"/>
          <w:szCs w:val="20"/>
        </w:rPr>
        <w:t>:</w:t>
      </w:r>
    </w:p>
    <w:p w:rsidR="0062771A" w:rsidRPr="008166A0" w:rsidRDefault="0062771A" w:rsidP="0062771A">
      <w:pPr>
        <w:pStyle w:val="ListParagraph"/>
        <w:numPr>
          <w:ilvl w:val="0"/>
          <w:numId w:val="15"/>
        </w:numPr>
        <w:contextualSpacing/>
        <w:rPr>
          <w:color w:val="365F91" w:themeColor="accent1" w:themeShade="BF"/>
          <w:sz w:val="20"/>
        </w:rPr>
      </w:pPr>
      <w:r w:rsidRPr="008166A0">
        <w:rPr>
          <w:color w:val="365F91" w:themeColor="accent1" w:themeShade="BF"/>
          <w:sz w:val="20"/>
        </w:rPr>
        <w:t>Employees paid from OPS funds, except short-term and seasonal</w:t>
      </w:r>
    </w:p>
    <w:p w:rsidR="0062771A" w:rsidRPr="008166A0" w:rsidRDefault="0062771A" w:rsidP="0062771A">
      <w:pPr>
        <w:pStyle w:val="ListParagraph"/>
        <w:numPr>
          <w:ilvl w:val="0"/>
          <w:numId w:val="15"/>
        </w:numPr>
        <w:contextualSpacing/>
        <w:rPr>
          <w:color w:val="365F91" w:themeColor="accent1" w:themeShade="BF"/>
          <w:sz w:val="20"/>
        </w:rPr>
      </w:pPr>
      <w:r w:rsidRPr="008166A0">
        <w:rPr>
          <w:color w:val="365F91" w:themeColor="accent1" w:themeShade="BF"/>
          <w:sz w:val="20"/>
        </w:rPr>
        <w:t>Exempt OPS salaried employees</w:t>
      </w:r>
    </w:p>
    <w:p w:rsidR="0062771A" w:rsidRPr="008166A0" w:rsidRDefault="0062771A" w:rsidP="0062771A">
      <w:pPr>
        <w:pStyle w:val="ListParagraph"/>
        <w:numPr>
          <w:ilvl w:val="0"/>
          <w:numId w:val="15"/>
        </w:numPr>
        <w:contextualSpacing/>
        <w:rPr>
          <w:color w:val="365F91" w:themeColor="accent1" w:themeShade="BF"/>
          <w:sz w:val="20"/>
        </w:rPr>
      </w:pPr>
      <w:r w:rsidRPr="008166A0">
        <w:rPr>
          <w:color w:val="365F91" w:themeColor="accent1" w:themeShade="BF"/>
          <w:sz w:val="20"/>
        </w:rPr>
        <w:t>Employees hired on a temporary basis, unless they are leased from a staffing firm (e.g., Kelly Services)</w:t>
      </w:r>
    </w:p>
    <w:p w:rsidR="0062771A" w:rsidRPr="008166A0" w:rsidRDefault="0062771A" w:rsidP="0062771A">
      <w:pPr>
        <w:pStyle w:val="ListParagraph"/>
        <w:numPr>
          <w:ilvl w:val="0"/>
          <w:numId w:val="15"/>
        </w:numPr>
        <w:contextualSpacing/>
        <w:rPr>
          <w:color w:val="365F91" w:themeColor="accent1" w:themeShade="BF"/>
          <w:sz w:val="20"/>
        </w:rPr>
      </w:pPr>
      <w:r w:rsidRPr="008166A0">
        <w:rPr>
          <w:color w:val="365F91" w:themeColor="accent1" w:themeShade="BF"/>
          <w:sz w:val="20"/>
        </w:rPr>
        <w:t>Employees paid an hourly wage or stipend who are not considered permanent</w:t>
      </w:r>
    </w:p>
    <w:p w:rsidR="0062771A" w:rsidRPr="008166A0" w:rsidRDefault="0062771A" w:rsidP="0062771A">
      <w:pPr>
        <w:pStyle w:val="ListParagraph"/>
        <w:numPr>
          <w:ilvl w:val="0"/>
          <w:numId w:val="15"/>
        </w:numPr>
        <w:contextualSpacing/>
        <w:rPr>
          <w:color w:val="365F91" w:themeColor="accent1" w:themeShade="BF"/>
          <w:sz w:val="20"/>
        </w:rPr>
      </w:pPr>
      <w:r w:rsidRPr="008166A0">
        <w:rPr>
          <w:color w:val="365F91" w:themeColor="accent1" w:themeShade="BF"/>
          <w:sz w:val="20"/>
        </w:rPr>
        <w:t>Student workers and graduate assistants</w:t>
      </w:r>
    </w:p>
    <w:p w:rsidR="0062771A" w:rsidRPr="008166A0" w:rsidRDefault="0062771A" w:rsidP="0062771A">
      <w:pPr>
        <w:pStyle w:val="ListParagraph"/>
        <w:numPr>
          <w:ilvl w:val="0"/>
          <w:numId w:val="15"/>
        </w:numPr>
        <w:contextualSpacing/>
        <w:rPr>
          <w:color w:val="365F91" w:themeColor="accent1" w:themeShade="BF"/>
          <w:sz w:val="20"/>
        </w:rPr>
      </w:pPr>
      <w:r w:rsidRPr="008166A0">
        <w:rPr>
          <w:color w:val="365F91" w:themeColor="accent1" w:themeShade="BF"/>
          <w:sz w:val="20"/>
        </w:rPr>
        <w:t>Adjunct professors</w:t>
      </w:r>
    </w:p>
    <w:p w:rsidR="0062771A" w:rsidRPr="008166A0" w:rsidRDefault="0062771A" w:rsidP="0062771A">
      <w:pPr>
        <w:pStyle w:val="ListParagraph"/>
        <w:numPr>
          <w:ilvl w:val="0"/>
          <w:numId w:val="15"/>
        </w:numPr>
        <w:contextualSpacing/>
        <w:rPr>
          <w:color w:val="365F91" w:themeColor="accent1" w:themeShade="BF"/>
          <w:sz w:val="20"/>
        </w:rPr>
      </w:pPr>
      <w:r w:rsidRPr="008166A0">
        <w:rPr>
          <w:color w:val="365F91" w:themeColor="accent1" w:themeShade="BF"/>
          <w:sz w:val="20"/>
        </w:rPr>
        <w:t xml:space="preserve">Leased or contracted employees who are subject to control of the employer as to what </w:t>
      </w:r>
      <w:proofErr w:type="gramStart"/>
      <w:r w:rsidR="008166A0">
        <w:rPr>
          <w:color w:val="365F91" w:themeColor="accent1" w:themeShade="BF"/>
          <w:sz w:val="20"/>
        </w:rPr>
        <w:t>is</w:t>
      </w:r>
      <w:proofErr w:type="gramEnd"/>
      <w:r w:rsidRPr="008166A0">
        <w:rPr>
          <w:color w:val="365F91" w:themeColor="accent1" w:themeShade="BF"/>
          <w:sz w:val="20"/>
        </w:rPr>
        <w:t xml:space="preserve"> done and how it </w:t>
      </w:r>
      <w:r w:rsidR="008166A0">
        <w:rPr>
          <w:color w:val="365F91" w:themeColor="accent1" w:themeShade="BF"/>
          <w:sz w:val="20"/>
        </w:rPr>
        <w:t>is to</w:t>
      </w:r>
      <w:r w:rsidRPr="008166A0">
        <w:rPr>
          <w:color w:val="365F91" w:themeColor="accent1" w:themeShade="BF"/>
          <w:sz w:val="20"/>
        </w:rPr>
        <w:t xml:space="preserve"> be done (Independent contractors whose work is dictated by the terms of a contract are </w:t>
      </w:r>
      <w:r w:rsidRPr="008166A0">
        <w:rPr>
          <w:i/>
          <w:color w:val="365F91" w:themeColor="accent1" w:themeShade="BF"/>
          <w:sz w:val="20"/>
        </w:rPr>
        <w:t>not</w:t>
      </w:r>
      <w:r w:rsidRPr="008166A0">
        <w:rPr>
          <w:color w:val="365F91" w:themeColor="accent1" w:themeShade="BF"/>
          <w:sz w:val="20"/>
        </w:rPr>
        <w:t xml:space="preserve"> eligible for coverage through State Group Insurance.)</w:t>
      </w:r>
    </w:p>
    <w:p w:rsidR="0062771A" w:rsidRPr="008166A0" w:rsidRDefault="0062771A" w:rsidP="0062771A">
      <w:pPr>
        <w:pStyle w:val="ListParagraph"/>
        <w:numPr>
          <w:ilvl w:val="0"/>
          <w:numId w:val="15"/>
        </w:numPr>
        <w:contextualSpacing/>
        <w:rPr>
          <w:color w:val="365F91" w:themeColor="accent1" w:themeShade="BF"/>
          <w:sz w:val="20"/>
        </w:rPr>
      </w:pPr>
      <w:r w:rsidRPr="008166A0">
        <w:rPr>
          <w:color w:val="365F91" w:themeColor="accent1" w:themeShade="BF"/>
          <w:sz w:val="20"/>
        </w:rPr>
        <w:t>Board members</w:t>
      </w:r>
    </w:p>
    <w:p w:rsidR="008166A0" w:rsidRDefault="0062771A" w:rsidP="008166A0">
      <w:pPr>
        <w:pStyle w:val="ListParagraph"/>
        <w:numPr>
          <w:ilvl w:val="0"/>
          <w:numId w:val="15"/>
        </w:numPr>
        <w:contextualSpacing/>
        <w:rPr>
          <w:color w:val="365F91" w:themeColor="accent1" w:themeShade="BF"/>
          <w:sz w:val="20"/>
        </w:rPr>
      </w:pPr>
      <w:r w:rsidRPr="008166A0">
        <w:rPr>
          <w:color w:val="365F91" w:themeColor="accent1" w:themeShade="BF"/>
          <w:sz w:val="20"/>
        </w:rPr>
        <w:t>Fee for service employees</w:t>
      </w:r>
    </w:p>
    <w:p w:rsidR="0062771A" w:rsidRPr="008166A0" w:rsidRDefault="0062771A" w:rsidP="008166A0">
      <w:pPr>
        <w:pStyle w:val="ListParagraph"/>
        <w:numPr>
          <w:ilvl w:val="0"/>
          <w:numId w:val="15"/>
        </w:numPr>
        <w:contextualSpacing/>
        <w:rPr>
          <w:color w:val="365F91" w:themeColor="accent1" w:themeShade="BF"/>
          <w:sz w:val="20"/>
        </w:rPr>
      </w:pPr>
      <w:r w:rsidRPr="008166A0">
        <w:rPr>
          <w:color w:val="365F91" w:themeColor="accent1" w:themeShade="BF"/>
          <w:sz w:val="20"/>
        </w:rPr>
        <w:t>AmeriCorps volunteers</w:t>
      </w:r>
      <w:r w:rsidR="006079AB">
        <w:rPr>
          <w:color w:val="365F91" w:themeColor="accent1" w:themeShade="BF"/>
          <w:sz w:val="20"/>
        </w:rPr>
        <w:t xml:space="preserve"> (under review – TBD)</w:t>
      </w:r>
    </w:p>
    <w:p w:rsidR="0062771A" w:rsidRPr="0062771A" w:rsidRDefault="0062771A" w:rsidP="0062771A">
      <w:pPr>
        <w:rPr>
          <w:rFonts w:asciiTheme="minorHAnsi" w:hAnsiTheme="minorHAnsi"/>
          <w:sz w:val="20"/>
          <w:szCs w:val="20"/>
        </w:rPr>
      </w:pPr>
    </w:p>
    <w:p w:rsidR="00A868A5" w:rsidRDefault="00843863" w:rsidP="00774D00">
      <w:pPr>
        <w:pStyle w:val="ListParagraph"/>
        <w:numPr>
          <w:ilvl w:val="0"/>
          <w:numId w:val="4"/>
        </w:numPr>
        <w:rPr>
          <w:rFonts w:asciiTheme="minorHAnsi" w:hAnsiTheme="minorHAnsi"/>
          <w:sz w:val="20"/>
          <w:szCs w:val="20"/>
        </w:rPr>
      </w:pPr>
      <w:r>
        <w:rPr>
          <w:rFonts w:asciiTheme="minorHAnsi" w:hAnsiTheme="minorHAnsi"/>
          <w:sz w:val="20"/>
          <w:szCs w:val="20"/>
        </w:rPr>
        <w:t>How w</w:t>
      </w:r>
      <w:r w:rsidR="00774D00">
        <w:rPr>
          <w:rFonts w:asciiTheme="minorHAnsi" w:hAnsiTheme="minorHAnsi"/>
          <w:sz w:val="20"/>
          <w:szCs w:val="20"/>
        </w:rPr>
        <w:t>ill I know if I’m eligible?</w:t>
      </w:r>
    </w:p>
    <w:p w:rsidR="00843863" w:rsidRDefault="00843863" w:rsidP="00843863">
      <w:pPr>
        <w:ind w:left="36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 xml:space="preserve">People </w:t>
      </w:r>
      <w:proofErr w:type="gramStart"/>
      <w:r>
        <w:rPr>
          <w:rFonts w:asciiTheme="minorHAnsi" w:hAnsiTheme="minorHAnsi"/>
          <w:color w:val="365F91" w:themeColor="accent1" w:themeShade="BF"/>
          <w:sz w:val="20"/>
          <w:szCs w:val="20"/>
        </w:rPr>
        <w:t>First</w:t>
      </w:r>
      <w:proofErr w:type="gramEnd"/>
      <w:r>
        <w:rPr>
          <w:rFonts w:asciiTheme="minorHAnsi" w:hAnsiTheme="minorHAnsi"/>
          <w:color w:val="365F91" w:themeColor="accent1" w:themeShade="BF"/>
          <w:sz w:val="20"/>
          <w:szCs w:val="20"/>
        </w:rPr>
        <w:t xml:space="preserve"> will mail you a package of information with your options, monthly costs, </w:t>
      </w:r>
      <w:r w:rsidR="0062771A">
        <w:rPr>
          <w:rFonts w:asciiTheme="minorHAnsi" w:hAnsiTheme="minorHAnsi"/>
          <w:color w:val="365F91" w:themeColor="accent1" w:themeShade="BF"/>
          <w:sz w:val="20"/>
          <w:szCs w:val="20"/>
        </w:rPr>
        <w:t xml:space="preserve">enrollment </w:t>
      </w:r>
      <w:r>
        <w:rPr>
          <w:rFonts w:asciiTheme="minorHAnsi" w:hAnsiTheme="minorHAnsi"/>
          <w:color w:val="365F91" w:themeColor="accent1" w:themeShade="BF"/>
          <w:sz w:val="20"/>
          <w:szCs w:val="20"/>
        </w:rPr>
        <w:t>deadlines and other pertinent information.</w:t>
      </w:r>
    </w:p>
    <w:p w:rsidR="00843863" w:rsidRDefault="00843863" w:rsidP="00843863">
      <w:pPr>
        <w:ind w:left="360"/>
        <w:rPr>
          <w:rFonts w:asciiTheme="minorHAnsi" w:hAnsiTheme="minorHAnsi"/>
          <w:color w:val="365F91" w:themeColor="accent1" w:themeShade="BF"/>
          <w:sz w:val="20"/>
          <w:szCs w:val="20"/>
        </w:rPr>
      </w:pPr>
    </w:p>
    <w:p w:rsidR="00843863" w:rsidRPr="00843863" w:rsidRDefault="00843863" w:rsidP="00843863">
      <w:pPr>
        <w:pStyle w:val="ListParagraph"/>
        <w:numPr>
          <w:ilvl w:val="0"/>
          <w:numId w:val="4"/>
        </w:numPr>
        <w:rPr>
          <w:rFonts w:asciiTheme="minorHAnsi" w:hAnsiTheme="minorHAnsi"/>
          <w:sz w:val="20"/>
          <w:szCs w:val="20"/>
        </w:rPr>
      </w:pPr>
      <w:r w:rsidRPr="00843863">
        <w:rPr>
          <w:rFonts w:asciiTheme="minorHAnsi" w:hAnsiTheme="minorHAnsi"/>
          <w:sz w:val="20"/>
          <w:szCs w:val="20"/>
        </w:rPr>
        <w:t>What kinds of insurance can I get through the State Group Insurance Program?</w:t>
      </w:r>
    </w:p>
    <w:p w:rsidR="00843863" w:rsidRPr="00843863" w:rsidRDefault="00843863" w:rsidP="00843863">
      <w:pPr>
        <w:ind w:firstLine="360"/>
        <w:rPr>
          <w:color w:val="365F91" w:themeColor="accent1" w:themeShade="BF"/>
          <w:sz w:val="20"/>
        </w:rPr>
      </w:pPr>
      <w:r>
        <w:rPr>
          <w:color w:val="365F91" w:themeColor="accent1" w:themeShade="BF"/>
          <w:sz w:val="20"/>
        </w:rPr>
        <w:t>Eligible OPS employees can</w:t>
      </w:r>
      <w:r w:rsidRPr="00843863">
        <w:rPr>
          <w:color w:val="365F91" w:themeColor="accent1" w:themeShade="BF"/>
          <w:sz w:val="20"/>
        </w:rPr>
        <w:t xml:space="preserve"> enroll in State Group Insurance plans as follows:</w:t>
      </w:r>
    </w:p>
    <w:p w:rsidR="00843863" w:rsidRPr="00843863" w:rsidRDefault="00843863" w:rsidP="00843863">
      <w:pPr>
        <w:pStyle w:val="ListParagraph"/>
        <w:numPr>
          <w:ilvl w:val="0"/>
          <w:numId w:val="13"/>
        </w:numPr>
        <w:contextualSpacing/>
        <w:rPr>
          <w:color w:val="365F91" w:themeColor="accent1" w:themeShade="BF"/>
          <w:sz w:val="20"/>
        </w:rPr>
      </w:pPr>
      <w:r w:rsidRPr="00843863">
        <w:rPr>
          <w:color w:val="365F91" w:themeColor="accent1" w:themeShade="BF"/>
          <w:sz w:val="20"/>
        </w:rPr>
        <w:t>Health Insurance</w:t>
      </w:r>
    </w:p>
    <w:p w:rsidR="00843863" w:rsidRPr="00843863" w:rsidRDefault="00843863" w:rsidP="00843863">
      <w:pPr>
        <w:pStyle w:val="ListParagraph"/>
        <w:numPr>
          <w:ilvl w:val="1"/>
          <w:numId w:val="13"/>
        </w:numPr>
        <w:contextualSpacing/>
        <w:rPr>
          <w:color w:val="365F91" w:themeColor="accent1" w:themeShade="BF"/>
          <w:sz w:val="20"/>
        </w:rPr>
      </w:pPr>
      <w:r w:rsidRPr="00843863">
        <w:rPr>
          <w:color w:val="365F91" w:themeColor="accent1" w:themeShade="BF"/>
          <w:sz w:val="20"/>
        </w:rPr>
        <w:t>Standard HMO or PPO - $50 single or $180 family per month</w:t>
      </w:r>
    </w:p>
    <w:p w:rsidR="00843863" w:rsidRPr="00843863" w:rsidRDefault="00843863" w:rsidP="00843863">
      <w:pPr>
        <w:pStyle w:val="ListParagraph"/>
        <w:numPr>
          <w:ilvl w:val="1"/>
          <w:numId w:val="13"/>
        </w:numPr>
        <w:contextualSpacing/>
        <w:rPr>
          <w:color w:val="365F91" w:themeColor="accent1" w:themeShade="BF"/>
          <w:sz w:val="20"/>
        </w:rPr>
      </w:pPr>
      <w:r w:rsidRPr="00843863">
        <w:rPr>
          <w:color w:val="365F91" w:themeColor="accent1" w:themeShade="BF"/>
          <w:sz w:val="20"/>
        </w:rPr>
        <w:t>Health Investor HMO or PPO - $15 single or $64.30 family per month</w:t>
      </w:r>
    </w:p>
    <w:p w:rsidR="00843863" w:rsidRPr="00843863" w:rsidRDefault="00843863" w:rsidP="00843863">
      <w:pPr>
        <w:pStyle w:val="ListParagraph"/>
        <w:numPr>
          <w:ilvl w:val="1"/>
          <w:numId w:val="13"/>
        </w:numPr>
        <w:contextualSpacing/>
        <w:rPr>
          <w:color w:val="365F91" w:themeColor="accent1" w:themeShade="BF"/>
          <w:sz w:val="20"/>
        </w:rPr>
      </w:pPr>
      <w:r w:rsidRPr="00843863">
        <w:rPr>
          <w:color w:val="365F91" w:themeColor="accent1" w:themeShade="BF"/>
          <w:sz w:val="20"/>
        </w:rPr>
        <w:t>Spouse Program - $15 per spouse per month</w:t>
      </w:r>
      <w:r>
        <w:rPr>
          <w:color w:val="365F91" w:themeColor="accent1" w:themeShade="BF"/>
          <w:sz w:val="20"/>
        </w:rPr>
        <w:t xml:space="preserve"> (spouses must both be employed by a state employer and eligible for coverage)</w:t>
      </w:r>
    </w:p>
    <w:p w:rsidR="00843863" w:rsidRPr="00843863" w:rsidRDefault="00843863" w:rsidP="00843863">
      <w:pPr>
        <w:pStyle w:val="ListParagraph"/>
        <w:numPr>
          <w:ilvl w:val="0"/>
          <w:numId w:val="13"/>
        </w:numPr>
        <w:contextualSpacing/>
        <w:rPr>
          <w:color w:val="365F91" w:themeColor="accent1" w:themeShade="BF"/>
          <w:sz w:val="20"/>
        </w:rPr>
      </w:pPr>
      <w:r w:rsidRPr="00843863">
        <w:rPr>
          <w:color w:val="365F91" w:themeColor="accent1" w:themeShade="BF"/>
          <w:sz w:val="20"/>
        </w:rPr>
        <w:t>Tax-favored Accounts</w:t>
      </w:r>
    </w:p>
    <w:p w:rsidR="00843863" w:rsidRPr="00843863" w:rsidRDefault="00843863" w:rsidP="00843863">
      <w:pPr>
        <w:pStyle w:val="ListParagraph"/>
        <w:numPr>
          <w:ilvl w:val="1"/>
          <w:numId w:val="13"/>
        </w:numPr>
        <w:contextualSpacing/>
        <w:rPr>
          <w:color w:val="365F91" w:themeColor="accent1" w:themeShade="BF"/>
          <w:sz w:val="20"/>
        </w:rPr>
      </w:pPr>
      <w:r w:rsidRPr="00843863">
        <w:rPr>
          <w:color w:val="365F91" w:themeColor="accent1" w:themeShade="BF"/>
          <w:sz w:val="20"/>
        </w:rPr>
        <w:t xml:space="preserve">Health Savings Account - if enrolled in a Health Investor HMO or PPO, eligible to receive the monthly state contribution of $41.66 single or $83.33 family per month, as well as make </w:t>
      </w:r>
      <w:r w:rsidR="00D27B31">
        <w:rPr>
          <w:color w:val="365F91" w:themeColor="accent1" w:themeShade="BF"/>
          <w:sz w:val="20"/>
        </w:rPr>
        <w:t>your</w:t>
      </w:r>
      <w:r w:rsidRPr="00843863">
        <w:rPr>
          <w:color w:val="365F91" w:themeColor="accent1" w:themeShade="BF"/>
          <w:sz w:val="20"/>
        </w:rPr>
        <w:t xml:space="preserve"> own pretax contributions</w:t>
      </w:r>
    </w:p>
    <w:p w:rsidR="00843863" w:rsidRPr="00843863" w:rsidRDefault="00C41D90" w:rsidP="00843863">
      <w:pPr>
        <w:pStyle w:val="ListParagraph"/>
        <w:numPr>
          <w:ilvl w:val="1"/>
          <w:numId w:val="13"/>
        </w:numPr>
        <w:contextualSpacing/>
        <w:rPr>
          <w:color w:val="365F91" w:themeColor="accent1" w:themeShade="BF"/>
          <w:sz w:val="20"/>
        </w:rPr>
      </w:pPr>
      <w:r>
        <w:rPr>
          <w:color w:val="365F91" w:themeColor="accent1" w:themeShade="BF"/>
          <w:sz w:val="20"/>
        </w:rPr>
        <w:t>Dependent Care Reimbursement</w:t>
      </w:r>
      <w:r w:rsidR="00300B62">
        <w:rPr>
          <w:color w:val="365F91" w:themeColor="accent1" w:themeShade="BF"/>
          <w:sz w:val="20"/>
        </w:rPr>
        <w:t xml:space="preserve"> Account</w:t>
      </w:r>
    </w:p>
    <w:p w:rsidR="00843863" w:rsidRPr="00843863" w:rsidRDefault="00843863" w:rsidP="00843863">
      <w:pPr>
        <w:pStyle w:val="ListParagraph"/>
        <w:numPr>
          <w:ilvl w:val="0"/>
          <w:numId w:val="13"/>
        </w:numPr>
        <w:contextualSpacing/>
        <w:rPr>
          <w:color w:val="365F91" w:themeColor="accent1" w:themeShade="BF"/>
          <w:sz w:val="20"/>
        </w:rPr>
      </w:pPr>
      <w:r w:rsidRPr="00843863">
        <w:rPr>
          <w:color w:val="365F91" w:themeColor="accent1" w:themeShade="BF"/>
          <w:sz w:val="20"/>
        </w:rPr>
        <w:t>Life Insurance</w:t>
      </w:r>
    </w:p>
    <w:p w:rsidR="00843863" w:rsidRPr="00843863" w:rsidRDefault="00843863" w:rsidP="00843863">
      <w:pPr>
        <w:pStyle w:val="ListParagraph"/>
        <w:numPr>
          <w:ilvl w:val="1"/>
          <w:numId w:val="13"/>
        </w:numPr>
        <w:contextualSpacing/>
        <w:rPr>
          <w:color w:val="365F91" w:themeColor="accent1" w:themeShade="BF"/>
          <w:sz w:val="20"/>
        </w:rPr>
      </w:pPr>
      <w:r w:rsidRPr="00843863">
        <w:rPr>
          <w:color w:val="365F91" w:themeColor="accent1" w:themeShade="BF"/>
          <w:sz w:val="20"/>
        </w:rPr>
        <w:t xml:space="preserve">Basic life – to participate, </w:t>
      </w:r>
      <w:r w:rsidR="00D27B31">
        <w:rPr>
          <w:color w:val="365F91" w:themeColor="accent1" w:themeShade="BF"/>
          <w:sz w:val="20"/>
        </w:rPr>
        <w:t xml:space="preserve">you </w:t>
      </w:r>
      <w:r w:rsidRPr="00843863">
        <w:rPr>
          <w:color w:val="365F91" w:themeColor="accent1" w:themeShade="BF"/>
          <w:sz w:val="20"/>
        </w:rPr>
        <w:t xml:space="preserve">must actively enroll and pay $4.54 per month; coverage is effective </w:t>
      </w:r>
      <w:r w:rsidR="00D27B31">
        <w:rPr>
          <w:color w:val="365F91" w:themeColor="accent1" w:themeShade="BF"/>
          <w:sz w:val="20"/>
        </w:rPr>
        <w:t xml:space="preserve">the first of the month following a full payroll deduction </w:t>
      </w:r>
    </w:p>
    <w:p w:rsidR="00843863" w:rsidRPr="00843863" w:rsidRDefault="00843863" w:rsidP="00843863">
      <w:pPr>
        <w:pStyle w:val="ListParagraph"/>
        <w:numPr>
          <w:ilvl w:val="0"/>
          <w:numId w:val="13"/>
        </w:numPr>
        <w:contextualSpacing/>
        <w:rPr>
          <w:color w:val="365F91" w:themeColor="accent1" w:themeShade="BF"/>
          <w:sz w:val="20"/>
        </w:rPr>
      </w:pPr>
      <w:r w:rsidRPr="00843863">
        <w:rPr>
          <w:color w:val="365F91" w:themeColor="accent1" w:themeShade="BF"/>
          <w:sz w:val="20"/>
        </w:rPr>
        <w:t>Dental, vision and other supp</w:t>
      </w:r>
      <w:r w:rsidR="00C41D90">
        <w:rPr>
          <w:color w:val="365F91" w:themeColor="accent1" w:themeShade="BF"/>
          <w:sz w:val="20"/>
        </w:rPr>
        <w:t>lemental pretax plans</w:t>
      </w:r>
    </w:p>
    <w:p w:rsidR="00843863" w:rsidRDefault="00843863" w:rsidP="00843863">
      <w:pPr>
        <w:rPr>
          <w:rFonts w:asciiTheme="minorHAnsi" w:hAnsiTheme="minorHAnsi"/>
          <w:sz w:val="20"/>
          <w:szCs w:val="20"/>
        </w:rPr>
      </w:pPr>
    </w:p>
    <w:p w:rsidR="00843863" w:rsidRPr="00843863" w:rsidRDefault="00843863" w:rsidP="00C41D90">
      <w:pPr>
        <w:ind w:left="360"/>
        <w:rPr>
          <w:color w:val="365F91" w:themeColor="accent1" w:themeShade="BF"/>
          <w:sz w:val="20"/>
        </w:rPr>
      </w:pPr>
      <w:r w:rsidRPr="00843863">
        <w:rPr>
          <w:rFonts w:asciiTheme="minorHAnsi" w:hAnsiTheme="minorHAnsi"/>
          <w:color w:val="365F91" w:themeColor="accent1" w:themeShade="BF"/>
          <w:sz w:val="20"/>
          <w:szCs w:val="20"/>
        </w:rPr>
        <w:t>OPS employees will not be able to enroll in a Medical Reimbursement or Limited Purpose Medical Reimbursement</w:t>
      </w:r>
      <w:r w:rsidR="00C41D90">
        <w:rPr>
          <w:rFonts w:asciiTheme="minorHAnsi" w:hAnsiTheme="minorHAnsi"/>
          <w:color w:val="365F91" w:themeColor="accent1" w:themeShade="BF"/>
          <w:sz w:val="20"/>
          <w:szCs w:val="20"/>
        </w:rPr>
        <w:t xml:space="preserve"> Account or </w:t>
      </w:r>
      <w:r w:rsidRPr="00843863">
        <w:rPr>
          <w:color w:val="365F91" w:themeColor="accent1" w:themeShade="BF"/>
          <w:sz w:val="20"/>
        </w:rPr>
        <w:t xml:space="preserve">Optional </w:t>
      </w:r>
      <w:r w:rsidR="00C41D90">
        <w:rPr>
          <w:color w:val="365F91" w:themeColor="accent1" w:themeShade="BF"/>
          <w:sz w:val="20"/>
        </w:rPr>
        <w:t>L</w:t>
      </w:r>
      <w:r w:rsidRPr="00843863">
        <w:rPr>
          <w:color w:val="365F91" w:themeColor="accent1" w:themeShade="BF"/>
          <w:sz w:val="20"/>
        </w:rPr>
        <w:t xml:space="preserve">ife </w:t>
      </w:r>
      <w:r w:rsidR="00C41D90">
        <w:rPr>
          <w:color w:val="365F91" w:themeColor="accent1" w:themeShade="BF"/>
          <w:sz w:val="20"/>
        </w:rPr>
        <w:t>insurance.</w:t>
      </w:r>
    </w:p>
    <w:p w:rsidR="00843863" w:rsidRDefault="00843863" w:rsidP="00843863">
      <w:pPr>
        <w:rPr>
          <w:rFonts w:asciiTheme="minorHAnsi" w:hAnsiTheme="minorHAnsi"/>
          <w:sz w:val="20"/>
          <w:szCs w:val="20"/>
        </w:rPr>
      </w:pPr>
    </w:p>
    <w:p w:rsidR="00843863" w:rsidRPr="00843863" w:rsidRDefault="00843863" w:rsidP="00843863">
      <w:pPr>
        <w:pStyle w:val="ListParagraph"/>
        <w:numPr>
          <w:ilvl w:val="0"/>
          <w:numId w:val="4"/>
        </w:numPr>
        <w:rPr>
          <w:rFonts w:asciiTheme="minorHAnsi" w:hAnsiTheme="minorHAnsi"/>
          <w:sz w:val="20"/>
          <w:szCs w:val="20"/>
        </w:rPr>
      </w:pPr>
      <w:r w:rsidRPr="00843863">
        <w:rPr>
          <w:rFonts w:asciiTheme="minorHAnsi" w:hAnsiTheme="minorHAnsi"/>
          <w:sz w:val="20"/>
          <w:szCs w:val="20"/>
        </w:rPr>
        <w:t>When will coverage start?</w:t>
      </w:r>
    </w:p>
    <w:p w:rsidR="00774D00" w:rsidRPr="0062771A" w:rsidRDefault="0062771A" w:rsidP="00774D00">
      <w:pPr>
        <w:ind w:left="360"/>
        <w:rPr>
          <w:color w:val="365F91" w:themeColor="accent1" w:themeShade="BF"/>
          <w:sz w:val="20"/>
        </w:rPr>
      </w:pPr>
      <w:r w:rsidRPr="0062771A">
        <w:rPr>
          <w:color w:val="365F91" w:themeColor="accent1" w:themeShade="BF"/>
          <w:sz w:val="20"/>
        </w:rPr>
        <w:t>The earliest coverage will begin is Jan. 1, 2014.</w:t>
      </w:r>
    </w:p>
    <w:p w:rsidR="008166A0" w:rsidRPr="008166A0" w:rsidRDefault="00900763" w:rsidP="008166A0">
      <w:pPr>
        <w:pStyle w:val="ListParagraph"/>
        <w:numPr>
          <w:ilvl w:val="0"/>
          <w:numId w:val="4"/>
        </w:numPr>
        <w:rPr>
          <w:rFonts w:asciiTheme="minorHAnsi" w:hAnsiTheme="minorHAnsi"/>
          <w:sz w:val="20"/>
          <w:szCs w:val="20"/>
        </w:rPr>
      </w:pPr>
      <w:r>
        <w:rPr>
          <w:rFonts w:asciiTheme="minorHAnsi" w:hAnsiTheme="minorHAnsi"/>
          <w:sz w:val="20"/>
          <w:szCs w:val="20"/>
        </w:rPr>
        <w:lastRenderedPageBreak/>
        <w:t>How will you determine who is eligible to participate in the upcoming open enrollment?</w:t>
      </w:r>
    </w:p>
    <w:p w:rsidR="008166A0" w:rsidRPr="00300B62" w:rsidRDefault="00900763" w:rsidP="00300B62">
      <w:pPr>
        <w:pStyle w:val="ListParagraph"/>
        <w:numPr>
          <w:ilvl w:val="0"/>
          <w:numId w:val="16"/>
        </w:numPr>
        <w:spacing w:line="276" w:lineRule="auto"/>
        <w:contextualSpacing/>
        <w:rPr>
          <w:rFonts w:asciiTheme="minorHAnsi" w:hAnsiTheme="minorHAnsi"/>
          <w:color w:val="365F91" w:themeColor="accent1" w:themeShade="BF"/>
          <w:sz w:val="20"/>
          <w:szCs w:val="20"/>
        </w:rPr>
      </w:pPr>
      <w:r w:rsidRPr="00300B62">
        <w:rPr>
          <w:rFonts w:asciiTheme="minorHAnsi" w:hAnsiTheme="minorHAnsi"/>
          <w:color w:val="365F91" w:themeColor="accent1" w:themeShade="BF"/>
          <w:sz w:val="20"/>
          <w:szCs w:val="20"/>
        </w:rPr>
        <w:t>We will use a</w:t>
      </w:r>
      <w:r w:rsidR="008166A0" w:rsidRPr="00300B62">
        <w:rPr>
          <w:rFonts w:asciiTheme="minorHAnsi" w:hAnsiTheme="minorHAnsi"/>
          <w:color w:val="365F91" w:themeColor="accent1" w:themeShade="BF"/>
          <w:sz w:val="20"/>
          <w:szCs w:val="20"/>
        </w:rPr>
        <w:t xml:space="preserve"> </w:t>
      </w:r>
      <w:r w:rsidRPr="00300B62">
        <w:rPr>
          <w:rFonts w:asciiTheme="minorHAnsi" w:hAnsiTheme="minorHAnsi"/>
          <w:color w:val="365F91" w:themeColor="accent1" w:themeShade="BF"/>
          <w:sz w:val="20"/>
          <w:szCs w:val="20"/>
        </w:rPr>
        <w:t>one-time,</w:t>
      </w:r>
      <w:r w:rsidR="008166A0" w:rsidRPr="00300B62">
        <w:rPr>
          <w:rFonts w:asciiTheme="minorHAnsi" w:hAnsiTheme="minorHAnsi"/>
          <w:color w:val="365F91" w:themeColor="accent1" w:themeShade="BF"/>
          <w:sz w:val="20"/>
          <w:szCs w:val="20"/>
        </w:rPr>
        <w:t xml:space="preserve"> </w:t>
      </w:r>
      <w:r w:rsidRPr="00300B62">
        <w:rPr>
          <w:rFonts w:asciiTheme="minorHAnsi" w:hAnsiTheme="minorHAnsi"/>
          <w:color w:val="365F91" w:themeColor="accent1" w:themeShade="BF"/>
          <w:sz w:val="20"/>
          <w:szCs w:val="20"/>
        </w:rPr>
        <w:t xml:space="preserve">six-month </w:t>
      </w:r>
      <w:r w:rsidR="008166A0" w:rsidRPr="00300B62">
        <w:rPr>
          <w:rFonts w:asciiTheme="minorHAnsi" w:hAnsiTheme="minorHAnsi"/>
          <w:color w:val="365F91" w:themeColor="accent1" w:themeShade="BF"/>
          <w:sz w:val="20"/>
          <w:szCs w:val="20"/>
        </w:rPr>
        <w:t>measurement period to determine eligibility for coverage for all OPS employees working as of April 1, 2013.</w:t>
      </w:r>
    </w:p>
    <w:p w:rsidR="008166A0" w:rsidRPr="00900763" w:rsidRDefault="008166A0" w:rsidP="008166A0">
      <w:pPr>
        <w:pStyle w:val="ListParagraph"/>
        <w:numPr>
          <w:ilvl w:val="2"/>
          <w:numId w:val="10"/>
        </w:numPr>
        <w:spacing w:line="276" w:lineRule="auto"/>
        <w:ind w:left="1080" w:hanging="360"/>
        <w:contextualSpacing/>
        <w:rPr>
          <w:rFonts w:asciiTheme="minorHAnsi" w:hAnsiTheme="minorHAnsi"/>
          <w:color w:val="365F91" w:themeColor="accent1" w:themeShade="BF"/>
          <w:sz w:val="20"/>
          <w:szCs w:val="20"/>
        </w:rPr>
      </w:pPr>
      <w:r w:rsidRPr="00900763">
        <w:rPr>
          <w:rFonts w:asciiTheme="minorHAnsi" w:hAnsiTheme="minorHAnsi"/>
          <w:color w:val="365F91" w:themeColor="accent1" w:themeShade="BF"/>
          <w:sz w:val="20"/>
          <w:szCs w:val="20"/>
        </w:rPr>
        <w:t>If they work 30 hours on average or more per week from April 1</w:t>
      </w:r>
      <w:r w:rsidR="00900763">
        <w:rPr>
          <w:rFonts w:asciiTheme="minorHAnsi" w:hAnsiTheme="minorHAnsi"/>
          <w:color w:val="365F91" w:themeColor="accent1" w:themeShade="BF"/>
          <w:sz w:val="20"/>
          <w:szCs w:val="20"/>
        </w:rPr>
        <w:t>, 2013,</w:t>
      </w:r>
      <w:r w:rsidRPr="00900763">
        <w:rPr>
          <w:rFonts w:asciiTheme="minorHAnsi" w:hAnsiTheme="minorHAnsi"/>
          <w:color w:val="365F91" w:themeColor="accent1" w:themeShade="BF"/>
          <w:sz w:val="20"/>
          <w:szCs w:val="20"/>
        </w:rPr>
        <w:t xml:space="preserve"> through </w:t>
      </w:r>
      <w:r w:rsidR="00312732">
        <w:rPr>
          <w:rFonts w:asciiTheme="minorHAnsi" w:hAnsiTheme="minorHAnsi"/>
          <w:color w:val="365F91" w:themeColor="accent1" w:themeShade="BF"/>
          <w:sz w:val="20"/>
          <w:szCs w:val="20"/>
        </w:rPr>
        <w:t>Oct. 2</w:t>
      </w:r>
      <w:r w:rsidR="00900763">
        <w:rPr>
          <w:rFonts w:asciiTheme="minorHAnsi" w:hAnsiTheme="minorHAnsi"/>
          <w:color w:val="365F91" w:themeColor="accent1" w:themeShade="BF"/>
          <w:sz w:val="20"/>
          <w:szCs w:val="20"/>
        </w:rPr>
        <w:t>, 2013</w:t>
      </w:r>
      <w:r w:rsidRPr="00900763">
        <w:rPr>
          <w:rFonts w:asciiTheme="minorHAnsi" w:hAnsiTheme="minorHAnsi"/>
          <w:color w:val="365F91" w:themeColor="accent1" w:themeShade="BF"/>
          <w:sz w:val="20"/>
          <w:szCs w:val="20"/>
        </w:rPr>
        <w:t xml:space="preserve">, they will be eligible to enroll in coverage during </w:t>
      </w:r>
      <w:r w:rsidR="00900763">
        <w:rPr>
          <w:rFonts w:asciiTheme="minorHAnsi" w:hAnsiTheme="minorHAnsi"/>
          <w:color w:val="365F91" w:themeColor="accent1" w:themeShade="BF"/>
          <w:sz w:val="20"/>
          <w:szCs w:val="20"/>
        </w:rPr>
        <w:t>open enrollment</w:t>
      </w:r>
      <w:r w:rsidRPr="00900763">
        <w:rPr>
          <w:rFonts w:asciiTheme="minorHAnsi" w:hAnsiTheme="minorHAnsi"/>
          <w:color w:val="365F91" w:themeColor="accent1" w:themeShade="BF"/>
          <w:sz w:val="20"/>
          <w:szCs w:val="20"/>
        </w:rPr>
        <w:t xml:space="preserve"> with an effective date of Jan</w:t>
      </w:r>
      <w:r w:rsidR="00900763">
        <w:rPr>
          <w:rFonts w:asciiTheme="minorHAnsi" w:hAnsiTheme="minorHAnsi"/>
          <w:color w:val="365F91" w:themeColor="accent1" w:themeShade="BF"/>
          <w:sz w:val="20"/>
          <w:szCs w:val="20"/>
        </w:rPr>
        <w:t>.</w:t>
      </w:r>
      <w:r w:rsidRPr="00900763">
        <w:rPr>
          <w:rFonts w:asciiTheme="minorHAnsi" w:hAnsiTheme="minorHAnsi"/>
          <w:color w:val="365F91" w:themeColor="accent1" w:themeShade="BF"/>
          <w:sz w:val="20"/>
          <w:szCs w:val="20"/>
        </w:rPr>
        <w:t xml:space="preserve"> 1, 2014.</w:t>
      </w:r>
    </w:p>
    <w:p w:rsidR="008166A0" w:rsidRPr="00900763" w:rsidRDefault="008166A0" w:rsidP="008166A0">
      <w:pPr>
        <w:pStyle w:val="ListParagraph"/>
        <w:numPr>
          <w:ilvl w:val="2"/>
          <w:numId w:val="10"/>
        </w:numPr>
        <w:spacing w:line="276" w:lineRule="auto"/>
        <w:ind w:left="1080" w:hanging="360"/>
        <w:contextualSpacing/>
        <w:rPr>
          <w:rFonts w:asciiTheme="minorHAnsi" w:hAnsiTheme="minorHAnsi"/>
          <w:color w:val="365F91" w:themeColor="accent1" w:themeShade="BF"/>
          <w:sz w:val="20"/>
          <w:szCs w:val="20"/>
        </w:rPr>
      </w:pPr>
      <w:r w:rsidRPr="00900763">
        <w:rPr>
          <w:rFonts w:asciiTheme="minorHAnsi" w:hAnsiTheme="minorHAnsi"/>
          <w:color w:val="365F91" w:themeColor="accent1" w:themeShade="BF"/>
          <w:sz w:val="20"/>
          <w:szCs w:val="20"/>
        </w:rPr>
        <w:t xml:space="preserve">If they do not work 30 hours or more, eligibility for future coverage will be determined at the end of the next </w:t>
      </w:r>
      <w:r w:rsidR="00900763">
        <w:rPr>
          <w:rFonts w:asciiTheme="minorHAnsi" w:hAnsiTheme="minorHAnsi"/>
          <w:color w:val="365F91" w:themeColor="accent1" w:themeShade="BF"/>
          <w:sz w:val="20"/>
          <w:szCs w:val="20"/>
        </w:rPr>
        <w:t>open enrollment</w:t>
      </w:r>
      <w:r w:rsidRPr="00900763">
        <w:rPr>
          <w:rFonts w:asciiTheme="minorHAnsi" w:hAnsiTheme="minorHAnsi"/>
          <w:color w:val="365F91" w:themeColor="accent1" w:themeShade="BF"/>
          <w:sz w:val="20"/>
          <w:szCs w:val="20"/>
        </w:rPr>
        <w:t xml:space="preserve"> measurement period</w:t>
      </w:r>
      <w:r w:rsidR="00900763">
        <w:rPr>
          <w:rFonts w:asciiTheme="minorHAnsi" w:hAnsiTheme="minorHAnsi"/>
          <w:color w:val="365F91" w:themeColor="accent1" w:themeShade="BF"/>
          <w:sz w:val="20"/>
          <w:szCs w:val="20"/>
        </w:rPr>
        <w:t xml:space="preserve"> (Oct.</w:t>
      </w:r>
      <w:r w:rsidR="00D27B31">
        <w:rPr>
          <w:rFonts w:asciiTheme="minorHAnsi" w:hAnsiTheme="minorHAnsi"/>
          <w:color w:val="365F91" w:themeColor="accent1" w:themeShade="BF"/>
          <w:sz w:val="20"/>
          <w:szCs w:val="20"/>
        </w:rPr>
        <w:t xml:space="preserve"> 3</w:t>
      </w:r>
      <w:r w:rsidR="00900763">
        <w:rPr>
          <w:rFonts w:asciiTheme="minorHAnsi" w:hAnsiTheme="minorHAnsi"/>
          <w:color w:val="365F91" w:themeColor="accent1" w:themeShade="BF"/>
          <w:sz w:val="20"/>
          <w:szCs w:val="20"/>
        </w:rPr>
        <w:t xml:space="preserve"> through the following </w:t>
      </w:r>
      <w:r w:rsidR="00D27B31">
        <w:rPr>
          <w:rFonts w:asciiTheme="minorHAnsi" w:hAnsiTheme="minorHAnsi"/>
          <w:color w:val="365F91" w:themeColor="accent1" w:themeShade="BF"/>
          <w:sz w:val="20"/>
          <w:szCs w:val="20"/>
        </w:rPr>
        <w:t>Oct. 2</w:t>
      </w:r>
      <w:r w:rsidRPr="00900763">
        <w:rPr>
          <w:rFonts w:asciiTheme="minorHAnsi" w:hAnsiTheme="minorHAnsi"/>
          <w:color w:val="365F91" w:themeColor="accent1" w:themeShade="BF"/>
          <w:sz w:val="20"/>
          <w:szCs w:val="20"/>
        </w:rPr>
        <w:t>.</w:t>
      </w:r>
      <w:r w:rsidR="00900763">
        <w:rPr>
          <w:rFonts w:asciiTheme="minorHAnsi" w:hAnsiTheme="minorHAnsi"/>
          <w:color w:val="365F91" w:themeColor="accent1" w:themeShade="BF"/>
          <w:sz w:val="20"/>
          <w:szCs w:val="20"/>
        </w:rPr>
        <w:t>)</w:t>
      </w:r>
    </w:p>
    <w:p w:rsidR="008166A0" w:rsidRPr="00300B62" w:rsidRDefault="008166A0" w:rsidP="00300B62">
      <w:pPr>
        <w:pStyle w:val="ListParagraph"/>
        <w:numPr>
          <w:ilvl w:val="0"/>
          <w:numId w:val="16"/>
        </w:numPr>
        <w:spacing w:line="276" w:lineRule="auto"/>
        <w:contextualSpacing/>
        <w:rPr>
          <w:rFonts w:asciiTheme="minorHAnsi" w:hAnsiTheme="minorHAnsi"/>
          <w:color w:val="365F91" w:themeColor="accent1" w:themeShade="BF"/>
          <w:sz w:val="20"/>
          <w:szCs w:val="20"/>
        </w:rPr>
      </w:pPr>
      <w:r w:rsidRPr="00300B62">
        <w:rPr>
          <w:rFonts w:asciiTheme="minorHAnsi" w:hAnsiTheme="minorHAnsi"/>
          <w:color w:val="365F91" w:themeColor="accent1" w:themeShade="BF"/>
          <w:sz w:val="20"/>
          <w:szCs w:val="20"/>
        </w:rPr>
        <w:t>OPS employees hired between April 2, 2013</w:t>
      </w:r>
      <w:r w:rsidR="00900763" w:rsidRPr="00300B62">
        <w:rPr>
          <w:rFonts w:asciiTheme="minorHAnsi" w:hAnsiTheme="minorHAnsi"/>
          <w:color w:val="365F91" w:themeColor="accent1" w:themeShade="BF"/>
          <w:sz w:val="20"/>
          <w:szCs w:val="20"/>
        </w:rPr>
        <w:t>,</w:t>
      </w:r>
      <w:r w:rsidRPr="00300B62">
        <w:rPr>
          <w:rFonts w:asciiTheme="minorHAnsi" w:hAnsiTheme="minorHAnsi"/>
          <w:color w:val="365F91" w:themeColor="accent1" w:themeShade="BF"/>
          <w:sz w:val="20"/>
          <w:szCs w:val="20"/>
        </w:rPr>
        <w:t xml:space="preserve"> and </w:t>
      </w:r>
      <w:r w:rsidR="00312732">
        <w:rPr>
          <w:rFonts w:asciiTheme="minorHAnsi" w:hAnsiTheme="minorHAnsi"/>
          <w:color w:val="365F91" w:themeColor="accent1" w:themeShade="BF"/>
          <w:sz w:val="20"/>
          <w:szCs w:val="20"/>
        </w:rPr>
        <w:t>Oct. 2</w:t>
      </w:r>
      <w:r w:rsidRPr="00300B62">
        <w:rPr>
          <w:rFonts w:asciiTheme="minorHAnsi" w:hAnsiTheme="minorHAnsi"/>
          <w:color w:val="365F91" w:themeColor="accent1" w:themeShade="BF"/>
          <w:sz w:val="20"/>
          <w:szCs w:val="20"/>
        </w:rPr>
        <w:t>, 2013</w:t>
      </w:r>
      <w:r w:rsidR="00900763" w:rsidRPr="00300B62">
        <w:rPr>
          <w:rFonts w:asciiTheme="minorHAnsi" w:hAnsiTheme="minorHAnsi"/>
          <w:color w:val="365F91" w:themeColor="accent1" w:themeShade="BF"/>
          <w:sz w:val="20"/>
          <w:szCs w:val="20"/>
        </w:rPr>
        <w:t>,</w:t>
      </w:r>
      <w:r w:rsidRPr="00300B62">
        <w:rPr>
          <w:rFonts w:asciiTheme="minorHAnsi" w:hAnsiTheme="minorHAnsi"/>
          <w:color w:val="365F91" w:themeColor="accent1" w:themeShade="BF"/>
          <w:sz w:val="20"/>
          <w:szCs w:val="20"/>
        </w:rPr>
        <w:t xml:space="preserve"> who are reasonably expected to work 30 hours or more per week will also be eligible to enroll in coverage during </w:t>
      </w:r>
      <w:r w:rsidR="00900763" w:rsidRPr="00300B62">
        <w:rPr>
          <w:rFonts w:asciiTheme="minorHAnsi" w:hAnsiTheme="minorHAnsi"/>
          <w:color w:val="365F91" w:themeColor="accent1" w:themeShade="BF"/>
          <w:sz w:val="20"/>
          <w:szCs w:val="20"/>
        </w:rPr>
        <w:t>open enrollment</w:t>
      </w:r>
      <w:r w:rsidRPr="00300B62">
        <w:rPr>
          <w:rFonts w:asciiTheme="minorHAnsi" w:hAnsiTheme="minorHAnsi"/>
          <w:color w:val="365F91" w:themeColor="accent1" w:themeShade="BF"/>
          <w:sz w:val="20"/>
          <w:szCs w:val="20"/>
        </w:rPr>
        <w:t>.</w:t>
      </w:r>
    </w:p>
    <w:p w:rsidR="008166A0" w:rsidRPr="00900763" w:rsidRDefault="008166A0" w:rsidP="00300B62">
      <w:pPr>
        <w:pStyle w:val="ListParagraph"/>
        <w:numPr>
          <w:ilvl w:val="0"/>
          <w:numId w:val="16"/>
        </w:numPr>
        <w:spacing w:line="276" w:lineRule="auto"/>
        <w:contextualSpacing/>
        <w:rPr>
          <w:rFonts w:asciiTheme="minorHAnsi" w:hAnsiTheme="minorHAnsi"/>
          <w:color w:val="365F91" w:themeColor="accent1" w:themeShade="BF"/>
          <w:sz w:val="20"/>
          <w:szCs w:val="20"/>
        </w:rPr>
      </w:pPr>
      <w:r w:rsidRPr="00900763">
        <w:rPr>
          <w:rFonts w:asciiTheme="minorHAnsi" w:hAnsiTheme="minorHAnsi"/>
          <w:color w:val="365F91" w:themeColor="accent1" w:themeShade="BF"/>
          <w:sz w:val="20"/>
          <w:szCs w:val="20"/>
        </w:rPr>
        <w:t>Employees hired April 2, 2013</w:t>
      </w:r>
      <w:r w:rsidR="00900763">
        <w:rPr>
          <w:rFonts w:asciiTheme="minorHAnsi" w:hAnsiTheme="minorHAnsi"/>
          <w:color w:val="365F91" w:themeColor="accent1" w:themeShade="BF"/>
          <w:sz w:val="20"/>
          <w:szCs w:val="20"/>
        </w:rPr>
        <w:t>,</w:t>
      </w:r>
      <w:r w:rsidRPr="00900763">
        <w:rPr>
          <w:rFonts w:asciiTheme="minorHAnsi" w:hAnsiTheme="minorHAnsi"/>
          <w:color w:val="365F91" w:themeColor="accent1" w:themeShade="BF"/>
          <w:sz w:val="20"/>
          <w:szCs w:val="20"/>
        </w:rPr>
        <w:t xml:space="preserve"> and after </w:t>
      </w:r>
      <w:r w:rsidR="00900763">
        <w:rPr>
          <w:rFonts w:asciiTheme="minorHAnsi" w:hAnsiTheme="minorHAnsi"/>
          <w:color w:val="365F91" w:themeColor="accent1" w:themeShade="BF"/>
          <w:sz w:val="20"/>
          <w:szCs w:val="20"/>
        </w:rPr>
        <w:t>but</w:t>
      </w:r>
      <w:r w:rsidRPr="00900763">
        <w:rPr>
          <w:rFonts w:asciiTheme="minorHAnsi" w:hAnsiTheme="minorHAnsi"/>
          <w:color w:val="365F91" w:themeColor="accent1" w:themeShade="BF"/>
          <w:sz w:val="20"/>
          <w:szCs w:val="20"/>
        </w:rPr>
        <w:t xml:space="preserve"> not reasonably expected to work 30 hours or more per week will not be eligible during </w:t>
      </w:r>
      <w:r w:rsidR="00900763">
        <w:rPr>
          <w:rFonts w:asciiTheme="minorHAnsi" w:hAnsiTheme="minorHAnsi"/>
          <w:color w:val="365F91" w:themeColor="accent1" w:themeShade="BF"/>
          <w:sz w:val="20"/>
          <w:szCs w:val="20"/>
        </w:rPr>
        <w:t>open enrollment</w:t>
      </w:r>
      <w:r w:rsidRPr="00900763">
        <w:rPr>
          <w:rFonts w:asciiTheme="minorHAnsi" w:hAnsiTheme="minorHAnsi"/>
          <w:color w:val="365F91" w:themeColor="accent1" w:themeShade="BF"/>
          <w:sz w:val="20"/>
          <w:szCs w:val="20"/>
        </w:rPr>
        <w:t xml:space="preserve"> to enroll in coverage for </w:t>
      </w:r>
      <w:r w:rsidR="00900763">
        <w:rPr>
          <w:rFonts w:asciiTheme="minorHAnsi" w:hAnsiTheme="minorHAnsi"/>
          <w:color w:val="365F91" w:themeColor="accent1" w:themeShade="BF"/>
          <w:sz w:val="20"/>
          <w:szCs w:val="20"/>
        </w:rPr>
        <w:t>Jan. 1, 201</w:t>
      </w:r>
      <w:r w:rsidR="00A4277D">
        <w:rPr>
          <w:rFonts w:asciiTheme="minorHAnsi" w:hAnsiTheme="minorHAnsi"/>
          <w:color w:val="365F91" w:themeColor="accent1" w:themeShade="BF"/>
          <w:sz w:val="20"/>
          <w:szCs w:val="20"/>
        </w:rPr>
        <w:t>4</w:t>
      </w:r>
      <w:r w:rsidRPr="00900763">
        <w:rPr>
          <w:rFonts w:asciiTheme="minorHAnsi" w:hAnsiTheme="minorHAnsi"/>
          <w:color w:val="365F91" w:themeColor="accent1" w:themeShade="BF"/>
          <w:sz w:val="20"/>
          <w:szCs w:val="20"/>
        </w:rPr>
        <w:t xml:space="preserve">. Eligibility for future coverage will be determined at the end of their </w:t>
      </w:r>
      <w:r w:rsidR="00900763" w:rsidRPr="00900763">
        <w:rPr>
          <w:rFonts w:asciiTheme="minorHAnsi" w:hAnsiTheme="minorHAnsi"/>
          <w:color w:val="365F91" w:themeColor="accent1" w:themeShade="BF"/>
          <w:sz w:val="20"/>
          <w:szCs w:val="20"/>
        </w:rPr>
        <w:t xml:space="preserve">12-month </w:t>
      </w:r>
      <w:r w:rsidRPr="00900763">
        <w:rPr>
          <w:rFonts w:asciiTheme="minorHAnsi" w:hAnsiTheme="minorHAnsi"/>
          <w:color w:val="365F91" w:themeColor="accent1" w:themeShade="BF"/>
          <w:sz w:val="20"/>
          <w:szCs w:val="20"/>
        </w:rPr>
        <w:t>new hire measurement period.</w:t>
      </w:r>
    </w:p>
    <w:p w:rsidR="00DB4724" w:rsidRDefault="00DB4724" w:rsidP="00594A0D">
      <w:pPr>
        <w:ind w:left="360"/>
        <w:rPr>
          <w:rFonts w:asciiTheme="minorHAnsi" w:hAnsiTheme="minorHAnsi"/>
          <w:color w:val="365F91" w:themeColor="accent1" w:themeShade="BF"/>
          <w:sz w:val="20"/>
          <w:szCs w:val="20"/>
        </w:rPr>
      </w:pPr>
    </w:p>
    <w:p w:rsidR="00900763" w:rsidRPr="00900763" w:rsidRDefault="00F218C3" w:rsidP="00900763">
      <w:pPr>
        <w:pStyle w:val="ListParagraph"/>
        <w:numPr>
          <w:ilvl w:val="0"/>
          <w:numId w:val="4"/>
        </w:numPr>
        <w:rPr>
          <w:rFonts w:asciiTheme="minorHAnsi" w:hAnsiTheme="minorHAnsi"/>
          <w:sz w:val="20"/>
          <w:szCs w:val="20"/>
        </w:rPr>
      </w:pPr>
      <w:r>
        <w:rPr>
          <w:rFonts w:asciiTheme="minorHAnsi" w:hAnsiTheme="minorHAnsi"/>
          <w:sz w:val="20"/>
          <w:szCs w:val="20"/>
        </w:rPr>
        <w:t xml:space="preserve">What are the </w:t>
      </w:r>
      <w:r w:rsidR="00900763" w:rsidRPr="00900763">
        <w:rPr>
          <w:rFonts w:asciiTheme="minorHAnsi" w:hAnsiTheme="minorHAnsi"/>
          <w:sz w:val="20"/>
          <w:szCs w:val="20"/>
        </w:rPr>
        <w:t xml:space="preserve">measurement </w:t>
      </w:r>
      <w:r>
        <w:rPr>
          <w:rFonts w:asciiTheme="minorHAnsi" w:hAnsiTheme="minorHAnsi"/>
          <w:sz w:val="20"/>
          <w:szCs w:val="20"/>
        </w:rPr>
        <w:t xml:space="preserve">and stability </w:t>
      </w:r>
      <w:r w:rsidR="00900763" w:rsidRPr="00900763">
        <w:rPr>
          <w:rFonts w:asciiTheme="minorHAnsi" w:hAnsiTheme="minorHAnsi"/>
          <w:sz w:val="20"/>
          <w:szCs w:val="20"/>
        </w:rPr>
        <w:t>period</w:t>
      </w:r>
      <w:r>
        <w:rPr>
          <w:rFonts w:asciiTheme="minorHAnsi" w:hAnsiTheme="minorHAnsi"/>
          <w:sz w:val="20"/>
          <w:szCs w:val="20"/>
        </w:rPr>
        <w:t>s</w:t>
      </w:r>
      <w:r w:rsidR="00900763" w:rsidRPr="00900763">
        <w:rPr>
          <w:rFonts w:asciiTheme="minorHAnsi" w:hAnsiTheme="minorHAnsi"/>
          <w:sz w:val="20"/>
          <w:szCs w:val="20"/>
        </w:rPr>
        <w:t>?</w:t>
      </w:r>
    </w:p>
    <w:p w:rsidR="00900763" w:rsidRDefault="00F218C3" w:rsidP="00900763">
      <w:pPr>
        <w:ind w:left="36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The new hire measurement period is</w:t>
      </w:r>
      <w:r w:rsidR="00900763" w:rsidRPr="00900763">
        <w:rPr>
          <w:rFonts w:asciiTheme="minorHAnsi" w:hAnsiTheme="minorHAnsi"/>
          <w:color w:val="365F91" w:themeColor="accent1" w:themeShade="BF"/>
          <w:sz w:val="20"/>
          <w:szCs w:val="20"/>
        </w:rPr>
        <w:t xml:space="preserve"> </w:t>
      </w:r>
      <w:r w:rsidR="009A05EE" w:rsidRPr="00900763">
        <w:rPr>
          <w:rFonts w:asciiTheme="minorHAnsi" w:hAnsiTheme="minorHAnsi"/>
          <w:color w:val="365F91" w:themeColor="accent1" w:themeShade="BF"/>
          <w:sz w:val="20"/>
          <w:szCs w:val="20"/>
        </w:rPr>
        <w:t>12</w:t>
      </w:r>
      <w:r w:rsidR="009A05EE">
        <w:rPr>
          <w:rFonts w:asciiTheme="minorHAnsi" w:hAnsiTheme="minorHAnsi"/>
          <w:color w:val="365F91" w:themeColor="accent1" w:themeShade="BF"/>
          <w:sz w:val="20"/>
          <w:szCs w:val="20"/>
        </w:rPr>
        <w:t xml:space="preserve"> consecutive </w:t>
      </w:r>
      <w:r w:rsidR="009A05EE" w:rsidRPr="00900763">
        <w:rPr>
          <w:rFonts w:asciiTheme="minorHAnsi" w:hAnsiTheme="minorHAnsi"/>
          <w:color w:val="365F91" w:themeColor="accent1" w:themeShade="BF"/>
          <w:sz w:val="20"/>
          <w:szCs w:val="20"/>
        </w:rPr>
        <w:t>month</w:t>
      </w:r>
      <w:r w:rsidR="00A4277D">
        <w:rPr>
          <w:rFonts w:asciiTheme="minorHAnsi" w:hAnsiTheme="minorHAnsi"/>
          <w:color w:val="365F91" w:themeColor="accent1" w:themeShade="BF"/>
          <w:sz w:val="20"/>
          <w:szCs w:val="20"/>
        </w:rPr>
        <w:t>s,</w:t>
      </w:r>
      <w:r w:rsidR="00900763" w:rsidRPr="00900763">
        <w:rPr>
          <w:rFonts w:asciiTheme="minorHAnsi" w:hAnsiTheme="minorHAnsi"/>
          <w:color w:val="365F91" w:themeColor="accent1" w:themeShade="BF"/>
          <w:sz w:val="20"/>
          <w:szCs w:val="20"/>
        </w:rPr>
        <w:t xml:space="preserve"> beginning the first day of the first month following </w:t>
      </w:r>
      <w:proofErr w:type="gramStart"/>
      <w:r w:rsidR="00900763" w:rsidRPr="00900763">
        <w:rPr>
          <w:rFonts w:asciiTheme="minorHAnsi" w:hAnsiTheme="minorHAnsi"/>
          <w:color w:val="365F91" w:themeColor="accent1" w:themeShade="BF"/>
          <w:sz w:val="20"/>
          <w:szCs w:val="20"/>
        </w:rPr>
        <w:t>an</w:t>
      </w:r>
      <w:r w:rsidR="00A4277D">
        <w:rPr>
          <w:rFonts w:asciiTheme="minorHAnsi" w:hAnsiTheme="minorHAnsi"/>
          <w:color w:val="365F91" w:themeColor="accent1" w:themeShade="BF"/>
          <w:sz w:val="20"/>
          <w:szCs w:val="20"/>
        </w:rPr>
        <w:t xml:space="preserve"> </w:t>
      </w:r>
      <w:r w:rsidR="00900763" w:rsidRPr="00900763">
        <w:rPr>
          <w:rFonts w:asciiTheme="minorHAnsi" w:hAnsiTheme="minorHAnsi"/>
          <w:color w:val="365F91" w:themeColor="accent1" w:themeShade="BF"/>
          <w:sz w:val="20"/>
          <w:szCs w:val="20"/>
        </w:rPr>
        <w:t>OPS</w:t>
      </w:r>
      <w:proofErr w:type="gramEnd"/>
      <w:r w:rsidR="00900763" w:rsidRPr="00900763">
        <w:rPr>
          <w:rFonts w:asciiTheme="minorHAnsi" w:hAnsiTheme="minorHAnsi"/>
          <w:color w:val="365F91" w:themeColor="accent1" w:themeShade="BF"/>
          <w:sz w:val="20"/>
          <w:szCs w:val="20"/>
        </w:rPr>
        <w:t xml:space="preserve"> employee’s </w:t>
      </w:r>
      <w:r w:rsidR="00A4277D">
        <w:rPr>
          <w:rFonts w:asciiTheme="minorHAnsi" w:hAnsiTheme="minorHAnsi"/>
          <w:color w:val="365F91" w:themeColor="accent1" w:themeShade="BF"/>
          <w:sz w:val="20"/>
          <w:szCs w:val="20"/>
        </w:rPr>
        <w:t>hire</w:t>
      </w:r>
      <w:r w:rsidR="00900763" w:rsidRPr="00900763">
        <w:rPr>
          <w:rFonts w:asciiTheme="minorHAnsi" w:hAnsiTheme="minorHAnsi"/>
          <w:color w:val="365F91" w:themeColor="accent1" w:themeShade="BF"/>
          <w:sz w:val="20"/>
          <w:szCs w:val="20"/>
        </w:rPr>
        <w:t xml:space="preserve"> date </w:t>
      </w:r>
      <w:r w:rsidR="00CF05F8">
        <w:rPr>
          <w:rFonts w:asciiTheme="minorHAnsi" w:hAnsiTheme="minorHAnsi"/>
          <w:color w:val="365F91" w:themeColor="accent1" w:themeShade="BF"/>
          <w:sz w:val="20"/>
          <w:szCs w:val="20"/>
        </w:rPr>
        <w:t>for</w:t>
      </w:r>
      <w:r w:rsidR="00900763" w:rsidRPr="00900763">
        <w:rPr>
          <w:rFonts w:asciiTheme="minorHAnsi" w:hAnsiTheme="minorHAnsi"/>
          <w:color w:val="365F91" w:themeColor="accent1" w:themeShade="BF"/>
          <w:sz w:val="20"/>
          <w:szCs w:val="20"/>
        </w:rPr>
        <w:t xml:space="preserve"> which the average hours worked weekly will be measured to determine eligibility for coverage.</w:t>
      </w:r>
    </w:p>
    <w:p w:rsidR="00F218C3" w:rsidRDefault="00F218C3" w:rsidP="00900763">
      <w:pPr>
        <w:ind w:left="360"/>
        <w:rPr>
          <w:rFonts w:asciiTheme="minorHAnsi" w:hAnsiTheme="minorHAnsi"/>
          <w:color w:val="365F91" w:themeColor="accent1" w:themeShade="BF"/>
          <w:sz w:val="20"/>
          <w:szCs w:val="20"/>
        </w:rPr>
      </w:pPr>
    </w:p>
    <w:p w:rsidR="00F218C3" w:rsidRPr="00F218C3" w:rsidRDefault="00F218C3" w:rsidP="00F218C3">
      <w:pPr>
        <w:ind w:left="36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The o</w:t>
      </w:r>
      <w:r w:rsidRPr="00F218C3">
        <w:rPr>
          <w:rFonts w:asciiTheme="minorHAnsi" w:hAnsiTheme="minorHAnsi"/>
          <w:color w:val="365F91" w:themeColor="accent1" w:themeShade="BF"/>
          <w:sz w:val="20"/>
          <w:szCs w:val="20"/>
        </w:rPr>
        <w:t xml:space="preserve">pen </w:t>
      </w:r>
      <w:r>
        <w:rPr>
          <w:rFonts w:asciiTheme="minorHAnsi" w:hAnsiTheme="minorHAnsi"/>
          <w:color w:val="365F91" w:themeColor="accent1" w:themeShade="BF"/>
          <w:sz w:val="20"/>
          <w:szCs w:val="20"/>
        </w:rPr>
        <w:t>e</w:t>
      </w:r>
      <w:r w:rsidRPr="00F218C3">
        <w:rPr>
          <w:rFonts w:asciiTheme="minorHAnsi" w:hAnsiTheme="minorHAnsi"/>
          <w:color w:val="365F91" w:themeColor="accent1" w:themeShade="BF"/>
          <w:sz w:val="20"/>
          <w:szCs w:val="20"/>
        </w:rPr>
        <w:t xml:space="preserve">nrollment measurement period </w:t>
      </w:r>
      <w:r>
        <w:rPr>
          <w:rFonts w:asciiTheme="minorHAnsi" w:hAnsiTheme="minorHAnsi"/>
          <w:color w:val="365F91" w:themeColor="accent1" w:themeShade="BF"/>
          <w:sz w:val="20"/>
          <w:szCs w:val="20"/>
        </w:rPr>
        <w:t>is</w:t>
      </w:r>
      <w:r w:rsidR="00A4277D">
        <w:rPr>
          <w:rFonts w:asciiTheme="minorHAnsi" w:hAnsiTheme="minorHAnsi"/>
          <w:color w:val="365F91" w:themeColor="accent1" w:themeShade="BF"/>
          <w:sz w:val="20"/>
          <w:szCs w:val="20"/>
        </w:rPr>
        <w:t xml:space="preserve"> also</w:t>
      </w:r>
      <w:r w:rsidRPr="00F218C3">
        <w:rPr>
          <w:rFonts w:asciiTheme="minorHAnsi" w:hAnsiTheme="minorHAnsi"/>
          <w:color w:val="365F91" w:themeColor="accent1" w:themeShade="BF"/>
          <w:sz w:val="20"/>
          <w:szCs w:val="20"/>
        </w:rPr>
        <w:t xml:space="preserve"> </w:t>
      </w:r>
      <w:r w:rsidR="009A05EE" w:rsidRPr="00900763">
        <w:rPr>
          <w:rFonts w:asciiTheme="minorHAnsi" w:hAnsiTheme="minorHAnsi"/>
          <w:color w:val="365F91" w:themeColor="accent1" w:themeShade="BF"/>
          <w:sz w:val="20"/>
          <w:szCs w:val="20"/>
        </w:rPr>
        <w:t>12</w:t>
      </w:r>
      <w:r w:rsidR="009A05EE">
        <w:rPr>
          <w:rFonts w:asciiTheme="minorHAnsi" w:hAnsiTheme="minorHAnsi"/>
          <w:color w:val="365F91" w:themeColor="accent1" w:themeShade="BF"/>
          <w:sz w:val="20"/>
          <w:szCs w:val="20"/>
        </w:rPr>
        <w:t xml:space="preserve"> consecutive </w:t>
      </w:r>
      <w:r w:rsidR="009A05EE" w:rsidRPr="00900763">
        <w:rPr>
          <w:rFonts w:asciiTheme="minorHAnsi" w:hAnsiTheme="minorHAnsi"/>
          <w:color w:val="365F91" w:themeColor="accent1" w:themeShade="BF"/>
          <w:sz w:val="20"/>
          <w:szCs w:val="20"/>
        </w:rPr>
        <w:t>month</w:t>
      </w:r>
      <w:r w:rsidR="00A4277D">
        <w:rPr>
          <w:rFonts w:asciiTheme="minorHAnsi" w:hAnsiTheme="minorHAnsi"/>
          <w:color w:val="365F91" w:themeColor="accent1" w:themeShade="BF"/>
          <w:sz w:val="20"/>
          <w:szCs w:val="20"/>
        </w:rPr>
        <w:t xml:space="preserve">s, </w:t>
      </w:r>
      <w:r w:rsidRPr="00F218C3">
        <w:rPr>
          <w:rFonts w:asciiTheme="minorHAnsi" w:hAnsiTheme="minorHAnsi"/>
          <w:color w:val="365F91" w:themeColor="accent1" w:themeShade="BF"/>
          <w:sz w:val="20"/>
          <w:szCs w:val="20"/>
        </w:rPr>
        <w:t>from Oct</w:t>
      </w:r>
      <w:r>
        <w:rPr>
          <w:rFonts w:asciiTheme="minorHAnsi" w:hAnsiTheme="minorHAnsi"/>
          <w:color w:val="365F91" w:themeColor="accent1" w:themeShade="BF"/>
          <w:sz w:val="20"/>
          <w:szCs w:val="20"/>
        </w:rPr>
        <w:t>.</w:t>
      </w:r>
      <w:r w:rsidRPr="00F218C3">
        <w:rPr>
          <w:rFonts w:asciiTheme="minorHAnsi" w:hAnsiTheme="minorHAnsi"/>
          <w:color w:val="365F91" w:themeColor="accent1" w:themeShade="BF"/>
          <w:sz w:val="20"/>
          <w:szCs w:val="20"/>
        </w:rPr>
        <w:t xml:space="preserve"> 1 </w:t>
      </w:r>
      <w:r>
        <w:rPr>
          <w:rFonts w:asciiTheme="minorHAnsi" w:hAnsiTheme="minorHAnsi"/>
          <w:color w:val="365F91" w:themeColor="accent1" w:themeShade="BF"/>
          <w:sz w:val="20"/>
          <w:szCs w:val="20"/>
        </w:rPr>
        <w:t xml:space="preserve">through the following Sept. </w:t>
      </w:r>
      <w:r w:rsidRPr="00F218C3">
        <w:rPr>
          <w:rFonts w:asciiTheme="minorHAnsi" w:hAnsiTheme="minorHAnsi"/>
          <w:color w:val="365F91" w:themeColor="accent1" w:themeShade="BF"/>
          <w:sz w:val="20"/>
          <w:szCs w:val="20"/>
        </w:rPr>
        <w:t xml:space="preserve">30 </w:t>
      </w:r>
      <w:r w:rsidR="00CF05F8">
        <w:rPr>
          <w:rFonts w:asciiTheme="minorHAnsi" w:hAnsiTheme="minorHAnsi"/>
          <w:color w:val="365F91" w:themeColor="accent1" w:themeShade="BF"/>
          <w:sz w:val="20"/>
          <w:szCs w:val="20"/>
        </w:rPr>
        <w:t>for</w:t>
      </w:r>
      <w:r w:rsidRPr="00F218C3">
        <w:rPr>
          <w:rFonts w:asciiTheme="minorHAnsi" w:hAnsiTheme="minorHAnsi"/>
          <w:color w:val="365F91" w:themeColor="accent1" w:themeShade="BF"/>
          <w:sz w:val="20"/>
          <w:szCs w:val="20"/>
        </w:rPr>
        <w:t xml:space="preserve"> which the average hours worked weekly will be measured to determine eligibility for coverage for the subsequent </w:t>
      </w:r>
      <w:r>
        <w:rPr>
          <w:rFonts w:asciiTheme="minorHAnsi" w:hAnsiTheme="minorHAnsi"/>
          <w:color w:val="365F91" w:themeColor="accent1" w:themeShade="BF"/>
          <w:sz w:val="20"/>
          <w:szCs w:val="20"/>
        </w:rPr>
        <w:t>plan year</w:t>
      </w:r>
      <w:r w:rsidRPr="00F218C3">
        <w:rPr>
          <w:rFonts w:asciiTheme="minorHAnsi" w:hAnsiTheme="minorHAnsi"/>
          <w:color w:val="365F91" w:themeColor="accent1" w:themeShade="BF"/>
          <w:sz w:val="20"/>
          <w:szCs w:val="20"/>
        </w:rPr>
        <w:t xml:space="preserve"> (Jan. 1 through Dec. 31).</w:t>
      </w:r>
    </w:p>
    <w:p w:rsidR="00F218C3" w:rsidRDefault="00F218C3" w:rsidP="00900763">
      <w:pPr>
        <w:ind w:left="360"/>
        <w:rPr>
          <w:rFonts w:asciiTheme="minorHAnsi" w:hAnsiTheme="minorHAnsi"/>
          <w:color w:val="365F91" w:themeColor="accent1" w:themeShade="BF"/>
          <w:sz w:val="20"/>
          <w:szCs w:val="20"/>
        </w:rPr>
      </w:pPr>
    </w:p>
    <w:p w:rsidR="00F218C3" w:rsidRPr="00F218C3" w:rsidRDefault="00F218C3" w:rsidP="00F218C3">
      <w:pPr>
        <w:ind w:left="360"/>
        <w:rPr>
          <w:rFonts w:asciiTheme="minorHAnsi" w:hAnsiTheme="minorHAnsi"/>
          <w:color w:val="365F91" w:themeColor="accent1" w:themeShade="BF"/>
          <w:sz w:val="20"/>
          <w:szCs w:val="20"/>
        </w:rPr>
      </w:pPr>
      <w:r w:rsidRPr="00F218C3">
        <w:rPr>
          <w:rFonts w:asciiTheme="minorHAnsi" w:hAnsiTheme="minorHAnsi"/>
          <w:color w:val="365F91" w:themeColor="accent1" w:themeShade="BF"/>
          <w:sz w:val="20"/>
          <w:szCs w:val="20"/>
        </w:rPr>
        <w:t>The stability period is the 12-month period following a measurement period during which eligible employees who enroll in coverage must be covered.</w:t>
      </w:r>
    </w:p>
    <w:p w:rsidR="00F218C3" w:rsidRPr="00F218C3" w:rsidRDefault="00A4277D" w:rsidP="00F218C3">
      <w:pPr>
        <w:pStyle w:val="ListParagraph"/>
        <w:numPr>
          <w:ilvl w:val="0"/>
          <w:numId w:val="8"/>
        </w:numPr>
        <w:spacing w:line="276" w:lineRule="auto"/>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 xml:space="preserve">After </w:t>
      </w:r>
      <w:r w:rsidR="00F218C3" w:rsidRPr="00F218C3">
        <w:rPr>
          <w:rFonts w:asciiTheme="minorHAnsi" w:hAnsiTheme="minorHAnsi"/>
          <w:color w:val="365F91" w:themeColor="accent1" w:themeShade="BF"/>
          <w:sz w:val="20"/>
          <w:szCs w:val="20"/>
        </w:rPr>
        <w:t xml:space="preserve">the new hire measurement period, </w:t>
      </w:r>
      <w:r>
        <w:rPr>
          <w:rFonts w:asciiTheme="minorHAnsi" w:hAnsiTheme="minorHAnsi"/>
          <w:color w:val="365F91" w:themeColor="accent1" w:themeShade="BF"/>
          <w:sz w:val="20"/>
          <w:szCs w:val="20"/>
        </w:rPr>
        <w:t xml:space="preserve">coverage can begin as soon as the second month. For example, an employee is hired January 22, 2014. The new hire measurement period is from Feb. 1, 2014 through Jan. 1, 2015. If the employee is determined to be eligible, coverage can begin March 1, 2015 and continue through Feb. </w:t>
      </w:r>
      <w:r w:rsidR="00312732">
        <w:rPr>
          <w:rFonts w:asciiTheme="minorHAnsi" w:hAnsiTheme="minorHAnsi"/>
          <w:color w:val="365F91" w:themeColor="accent1" w:themeShade="BF"/>
          <w:sz w:val="20"/>
          <w:szCs w:val="20"/>
        </w:rPr>
        <w:t>29</w:t>
      </w:r>
      <w:r>
        <w:rPr>
          <w:rFonts w:asciiTheme="minorHAnsi" w:hAnsiTheme="minorHAnsi"/>
          <w:color w:val="365F91" w:themeColor="accent1" w:themeShade="BF"/>
          <w:sz w:val="20"/>
          <w:szCs w:val="20"/>
        </w:rPr>
        <w:t>, 2016, provided she stays employed with the state.</w:t>
      </w:r>
    </w:p>
    <w:p w:rsidR="00F218C3" w:rsidRPr="00F218C3" w:rsidRDefault="00F218C3" w:rsidP="00F218C3">
      <w:pPr>
        <w:pStyle w:val="ListParagraph"/>
        <w:numPr>
          <w:ilvl w:val="0"/>
          <w:numId w:val="8"/>
        </w:numPr>
        <w:spacing w:line="276" w:lineRule="auto"/>
        <w:contextualSpacing/>
        <w:rPr>
          <w:rFonts w:asciiTheme="minorHAnsi" w:hAnsiTheme="minorHAnsi"/>
          <w:color w:val="365F91" w:themeColor="accent1" w:themeShade="BF"/>
          <w:sz w:val="20"/>
          <w:szCs w:val="20"/>
        </w:rPr>
      </w:pPr>
      <w:r w:rsidRPr="00F218C3">
        <w:rPr>
          <w:rFonts w:asciiTheme="minorHAnsi" w:hAnsiTheme="minorHAnsi"/>
          <w:color w:val="365F91" w:themeColor="accent1" w:themeShade="BF"/>
          <w:sz w:val="20"/>
          <w:szCs w:val="20"/>
        </w:rPr>
        <w:t>Following the OE measurement period, the stability period is Jan. 1 through Dec. 31.</w:t>
      </w:r>
    </w:p>
    <w:p w:rsidR="00F218C3" w:rsidRPr="0043607C" w:rsidRDefault="00F218C3" w:rsidP="00F218C3">
      <w:pPr>
        <w:ind w:left="360"/>
        <w:rPr>
          <w:rFonts w:asciiTheme="minorHAnsi" w:hAnsiTheme="minorHAnsi"/>
          <w:sz w:val="20"/>
          <w:szCs w:val="20"/>
        </w:rPr>
      </w:pPr>
    </w:p>
    <w:p w:rsidR="0043607C" w:rsidRPr="0043607C" w:rsidRDefault="0043607C" w:rsidP="0043607C">
      <w:pPr>
        <w:pStyle w:val="ListParagraph"/>
        <w:numPr>
          <w:ilvl w:val="0"/>
          <w:numId w:val="4"/>
        </w:numPr>
        <w:spacing w:line="276" w:lineRule="auto"/>
        <w:contextualSpacing/>
        <w:rPr>
          <w:rFonts w:asciiTheme="minorHAnsi" w:hAnsiTheme="minorHAnsi"/>
          <w:sz w:val="20"/>
          <w:szCs w:val="20"/>
        </w:rPr>
      </w:pPr>
      <w:r w:rsidRPr="0043607C">
        <w:rPr>
          <w:rFonts w:asciiTheme="minorHAnsi" w:hAnsiTheme="minorHAnsi"/>
          <w:sz w:val="20"/>
          <w:szCs w:val="20"/>
        </w:rPr>
        <w:t>Once enrolled</w:t>
      </w:r>
      <w:r w:rsidR="00900763">
        <w:rPr>
          <w:rFonts w:asciiTheme="minorHAnsi" w:hAnsiTheme="minorHAnsi"/>
          <w:sz w:val="20"/>
          <w:szCs w:val="20"/>
        </w:rPr>
        <w:t xml:space="preserve"> in insurance</w:t>
      </w:r>
      <w:r w:rsidRPr="0043607C">
        <w:rPr>
          <w:rFonts w:asciiTheme="minorHAnsi" w:hAnsiTheme="minorHAnsi"/>
          <w:sz w:val="20"/>
          <w:szCs w:val="20"/>
        </w:rPr>
        <w:t xml:space="preserve">, how long </w:t>
      </w:r>
      <w:r w:rsidR="00900763">
        <w:rPr>
          <w:rFonts w:asciiTheme="minorHAnsi" w:hAnsiTheme="minorHAnsi"/>
          <w:sz w:val="20"/>
          <w:szCs w:val="20"/>
        </w:rPr>
        <w:t xml:space="preserve">will I </w:t>
      </w:r>
      <w:r w:rsidRPr="0043607C">
        <w:rPr>
          <w:rFonts w:asciiTheme="minorHAnsi" w:hAnsiTheme="minorHAnsi"/>
          <w:sz w:val="20"/>
          <w:szCs w:val="20"/>
        </w:rPr>
        <w:t xml:space="preserve">get to keep </w:t>
      </w:r>
      <w:r w:rsidR="00900763">
        <w:rPr>
          <w:rFonts w:asciiTheme="minorHAnsi" w:hAnsiTheme="minorHAnsi"/>
          <w:sz w:val="20"/>
          <w:szCs w:val="20"/>
        </w:rPr>
        <w:t xml:space="preserve">my </w:t>
      </w:r>
      <w:r w:rsidRPr="0043607C">
        <w:rPr>
          <w:rFonts w:asciiTheme="minorHAnsi" w:hAnsiTheme="minorHAnsi"/>
          <w:sz w:val="20"/>
          <w:szCs w:val="20"/>
        </w:rPr>
        <w:t>coverage?</w:t>
      </w:r>
    </w:p>
    <w:p w:rsidR="0043607C" w:rsidRPr="00F218C3" w:rsidRDefault="00312732" w:rsidP="0043607C">
      <w:pPr>
        <w:pStyle w:val="ListParagraph"/>
        <w:numPr>
          <w:ilvl w:val="1"/>
          <w:numId w:val="9"/>
        </w:numPr>
        <w:spacing w:line="276" w:lineRule="auto"/>
        <w:ind w:left="720"/>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Health insurance c</w:t>
      </w:r>
      <w:r w:rsidR="0043607C" w:rsidRPr="00F218C3">
        <w:rPr>
          <w:rFonts w:asciiTheme="minorHAnsi" w:hAnsiTheme="minorHAnsi"/>
          <w:color w:val="365F91" w:themeColor="accent1" w:themeShade="BF"/>
          <w:sz w:val="20"/>
          <w:szCs w:val="20"/>
        </w:rPr>
        <w:t>overage continues for 12 months</w:t>
      </w:r>
      <w:r w:rsidR="00900763" w:rsidRPr="00F218C3">
        <w:rPr>
          <w:rFonts w:asciiTheme="minorHAnsi" w:hAnsiTheme="minorHAnsi"/>
          <w:color w:val="365F91" w:themeColor="accent1" w:themeShade="BF"/>
          <w:sz w:val="20"/>
          <w:szCs w:val="20"/>
        </w:rPr>
        <w:t xml:space="preserve"> (your stability period)</w:t>
      </w:r>
      <w:r w:rsidR="0043607C" w:rsidRPr="00F218C3">
        <w:rPr>
          <w:rFonts w:asciiTheme="minorHAnsi" w:hAnsiTheme="minorHAnsi"/>
          <w:color w:val="365F91" w:themeColor="accent1" w:themeShade="BF"/>
          <w:sz w:val="20"/>
          <w:szCs w:val="20"/>
        </w:rPr>
        <w:t xml:space="preserve">, as long as </w:t>
      </w:r>
      <w:r w:rsidR="00900763" w:rsidRPr="00F218C3">
        <w:rPr>
          <w:rFonts w:asciiTheme="minorHAnsi" w:hAnsiTheme="minorHAnsi"/>
          <w:color w:val="365F91" w:themeColor="accent1" w:themeShade="BF"/>
          <w:sz w:val="20"/>
          <w:szCs w:val="20"/>
        </w:rPr>
        <w:t>you</w:t>
      </w:r>
      <w:r w:rsidR="0043607C" w:rsidRPr="00F218C3">
        <w:rPr>
          <w:rFonts w:asciiTheme="minorHAnsi" w:hAnsiTheme="minorHAnsi"/>
          <w:color w:val="365F91" w:themeColor="accent1" w:themeShade="BF"/>
          <w:sz w:val="20"/>
          <w:szCs w:val="20"/>
        </w:rPr>
        <w:t xml:space="preserve"> continue working for the state, even if </w:t>
      </w:r>
      <w:r w:rsidR="00900763" w:rsidRPr="00F218C3">
        <w:rPr>
          <w:rFonts w:asciiTheme="minorHAnsi" w:hAnsiTheme="minorHAnsi"/>
          <w:color w:val="365F91" w:themeColor="accent1" w:themeShade="BF"/>
          <w:sz w:val="20"/>
          <w:szCs w:val="20"/>
        </w:rPr>
        <w:t>your</w:t>
      </w:r>
      <w:r w:rsidR="0043607C" w:rsidRPr="00F218C3">
        <w:rPr>
          <w:rFonts w:asciiTheme="minorHAnsi" w:hAnsiTheme="minorHAnsi"/>
          <w:color w:val="365F91" w:themeColor="accent1" w:themeShade="BF"/>
          <w:sz w:val="20"/>
          <w:szCs w:val="20"/>
        </w:rPr>
        <w:t xml:space="preserve"> hours drop below an average of 30.</w:t>
      </w:r>
      <w:r>
        <w:rPr>
          <w:rFonts w:asciiTheme="minorHAnsi" w:hAnsiTheme="minorHAnsi"/>
          <w:color w:val="365F91" w:themeColor="accent1" w:themeShade="BF"/>
          <w:sz w:val="20"/>
          <w:szCs w:val="20"/>
        </w:rPr>
        <w:t xml:space="preserve"> </w:t>
      </w:r>
    </w:p>
    <w:p w:rsidR="00312732" w:rsidRDefault="0043607C" w:rsidP="0043607C">
      <w:pPr>
        <w:pStyle w:val="ListParagraph"/>
        <w:numPr>
          <w:ilvl w:val="1"/>
          <w:numId w:val="9"/>
        </w:numPr>
        <w:spacing w:line="276" w:lineRule="auto"/>
        <w:ind w:left="720"/>
        <w:contextualSpacing/>
        <w:rPr>
          <w:rFonts w:asciiTheme="minorHAnsi" w:hAnsiTheme="minorHAnsi"/>
          <w:color w:val="365F91" w:themeColor="accent1" w:themeShade="BF"/>
          <w:sz w:val="20"/>
          <w:szCs w:val="20"/>
        </w:rPr>
      </w:pPr>
      <w:r w:rsidRPr="00F218C3">
        <w:rPr>
          <w:rFonts w:asciiTheme="minorHAnsi" w:hAnsiTheme="minorHAnsi"/>
          <w:color w:val="365F91" w:themeColor="accent1" w:themeShade="BF"/>
          <w:sz w:val="20"/>
          <w:szCs w:val="20"/>
        </w:rPr>
        <w:t xml:space="preserve">Eligibility to continue coverage for the subsequent plan year will be determined annually by measuring </w:t>
      </w:r>
      <w:r w:rsidR="00900763" w:rsidRPr="00F218C3">
        <w:rPr>
          <w:rFonts w:asciiTheme="minorHAnsi" w:hAnsiTheme="minorHAnsi"/>
          <w:color w:val="365F91" w:themeColor="accent1" w:themeShade="BF"/>
          <w:sz w:val="20"/>
          <w:szCs w:val="20"/>
        </w:rPr>
        <w:t xml:space="preserve">your </w:t>
      </w:r>
      <w:r w:rsidRPr="00F218C3">
        <w:rPr>
          <w:rFonts w:asciiTheme="minorHAnsi" w:hAnsiTheme="minorHAnsi"/>
          <w:color w:val="365F91" w:themeColor="accent1" w:themeShade="BF"/>
          <w:sz w:val="20"/>
          <w:szCs w:val="20"/>
        </w:rPr>
        <w:t xml:space="preserve">hours worked during the </w:t>
      </w:r>
      <w:r w:rsidR="00900763" w:rsidRPr="00F218C3">
        <w:rPr>
          <w:rFonts w:asciiTheme="minorHAnsi" w:hAnsiTheme="minorHAnsi"/>
          <w:color w:val="365F91" w:themeColor="accent1" w:themeShade="BF"/>
          <w:sz w:val="20"/>
          <w:szCs w:val="20"/>
        </w:rPr>
        <w:t xml:space="preserve">open enrollment </w:t>
      </w:r>
      <w:r w:rsidRPr="00F218C3">
        <w:rPr>
          <w:rFonts w:asciiTheme="minorHAnsi" w:hAnsiTheme="minorHAnsi"/>
          <w:color w:val="365F91" w:themeColor="accent1" w:themeShade="BF"/>
          <w:sz w:val="20"/>
          <w:szCs w:val="20"/>
        </w:rPr>
        <w:t>measurement period.</w:t>
      </w:r>
    </w:p>
    <w:p w:rsidR="0043607C" w:rsidRDefault="00312732">
      <w:pPr>
        <w:pStyle w:val="ListParagraph"/>
        <w:numPr>
          <w:ilvl w:val="1"/>
          <w:numId w:val="9"/>
        </w:numPr>
        <w:spacing w:line="276" w:lineRule="auto"/>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 xml:space="preserve">If you are determined to be </w:t>
      </w:r>
      <w:r w:rsidRPr="00D27B31">
        <w:rPr>
          <w:rFonts w:asciiTheme="minorHAnsi" w:hAnsiTheme="minorHAnsi"/>
          <w:i/>
          <w:color w:val="365F91" w:themeColor="accent1" w:themeShade="BF"/>
          <w:sz w:val="20"/>
          <w:szCs w:val="20"/>
        </w:rPr>
        <w:t>eligible</w:t>
      </w:r>
      <w:r>
        <w:rPr>
          <w:rFonts w:asciiTheme="minorHAnsi" w:hAnsiTheme="minorHAnsi"/>
          <w:color w:val="365F91" w:themeColor="accent1" w:themeShade="BF"/>
          <w:sz w:val="20"/>
          <w:szCs w:val="20"/>
        </w:rPr>
        <w:t xml:space="preserve">, coverage continues without interruption and you will be guaranteed another 12 months of health insurance coverage. </w:t>
      </w:r>
    </w:p>
    <w:p w:rsidR="00312732" w:rsidRPr="00F218C3" w:rsidRDefault="00312732">
      <w:pPr>
        <w:pStyle w:val="ListParagraph"/>
        <w:numPr>
          <w:ilvl w:val="1"/>
          <w:numId w:val="9"/>
        </w:numPr>
        <w:spacing w:line="276" w:lineRule="auto"/>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 xml:space="preserve">If you are determined to be </w:t>
      </w:r>
      <w:r>
        <w:rPr>
          <w:rFonts w:asciiTheme="minorHAnsi" w:hAnsiTheme="minorHAnsi"/>
          <w:i/>
          <w:color w:val="365F91" w:themeColor="accent1" w:themeShade="BF"/>
          <w:sz w:val="20"/>
          <w:szCs w:val="20"/>
        </w:rPr>
        <w:t>ineligible</w:t>
      </w:r>
      <w:r>
        <w:rPr>
          <w:rFonts w:asciiTheme="minorHAnsi" w:hAnsiTheme="minorHAnsi"/>
          <w:color w:val="365F91" w:themeColor="accent1" w:themeShade="BF"/>
          <w:sz w:val="20"/>
          <w:szCs w:val="20"/>
        </w:rPr>
        <w:t>, health insurance will end the last day of the twelfth month of coverage. All other plans will end at the same time as health insurance, regardless of the number of months you are enrolled.</w:t>
      </w:r>
    </w:p>
    <w:p w:rsidR="0043607C" w:rsidRPr="00300B62" w:rsidRDefault="0043607C" w:rsidP="0043607C">
      <w:pPr>
        <w:pStyle w:val="ListParagraph"/>
        <w:numPr>
          <w:ilvl w:val="1"/>
          <w:numId w:val="9"/>
        </w:numPr>
        <w:spacing w:line="276" w:lineRule="auto"/>
        <w:ind w:left="720"/>
        <w:contextualSpacing/>
        <w:rPr>
          <w:rFonts w:asciiTheme="minorHAnsi" w:hAnsiTheme="minorHAnsi"/>
          <w:color w:val="365F91" w:themeColor="accent1" w:themeShade="BF"/>
          <w:sz w:val="20"/>
          <w:szCs w:val="20"/>
        </w:rPr>
      </w:pPr>
      <w:r w:rsidRPr="00F218C3">
        <w:rPr>
          <w:rFonts w:asciiTheme="minorHAnsi" w:hAnsiTheme="minorHAnsi"/>
          <w:color w:val="365F91" w:themeColor="accent1" w:themeShade="BF"/>
          <w:sz w:val="20"/>
          <w:szCs w:val="20"/>
        </w:rPr>
        <w:t xml:space="preserve">If </w:t>
      </w:r>
      <w:r w:rsidR="00900763" w:rsidRPr="00F218C3">
        <w:rPr>
          <w:rFonts w:asciiTheme="minorHAnsi" w:hAnsiTheme="minorHAnsi"/>
          <w:color w:val="365F91" w:themeColor="accent1" w:themeShade="BF"/>
          <w:sz w:val="20"/>
          <w:szCs w:val="20"/>
        </w:rPr>
        <w:t>you</w:t>
      </w:r>
      <w:r w:rsidRPr="00F218C3">
        <w:rPr>
          <w:rFonts w:asciiTheme="minorHAnsi" w:hAnsiTheme="minorHAnsi"/>
          <w:color w:val="365F91" w:themeColor="accent1" w:themeShade="BF"/>
          <w:sz w:val="20"/>
          <w:szCs w:val="20"/>
        </w:rPr>
        <w:t xml:space="preserve"> terminate employment, </w:t>
      </w:r>
      <w:r w:rsidR="00900763" w:rsidRPr="00F218C3">
        <w:rPr>
          <w:rFonts w:asciiTheme="minorHAnsi" w:hAnsiTheme="minorHAnsi"/>
          <w:color w:val="365F91" w:themeColor="accent1" w:themeShade="BF"/>
          <w:sz w:val="20"/>
          <w:szCs w:val="20"/>
        </w:rPr>
        <w:t>you</w:t>
      </w:r>
      <w:r w:rsidRPr="00F218C3">
        <w:rPr>
          <w:rFonts w:asciiTheme="minorHAnsi" w:hAnsiTheme="minorHAnsi"/>
          <w:color w:val="365F91" w:themeColor="accent1" w:themeShade="BF"/>
          <w:sz w:val="20"/>
          <w:szCs w:val="20"/>
        </w:rPr>
        <w:t xml:space="preserve"> are covered through the last day of the month following termination, provided premiums are paid in full. </w:t>
      </w:r>
      <w:r w:rsidR="00900763" w:rsidRPr="00F218C3">
        <w:rPr>
          <w:rFonts w:asciiTheme="minorHAnsi" w:hAnsiTheme="minorHAnsi"/>
          <w:color w:val="365F91" w:themeColor="accent1" w:themeShade="BF"/>
          <w:sz w:val="20"/>
          <w:szCs w:val="20"/>
        </w:rPr>
        <w:t>You can</w:t>
      </w:r>
      <w:r w:rsidRPr="00F218C3">
        <w:rPr>
          <w:rFonts w:asciiTheme="minorHAnsi" w:hAnsiTheme="minorHAnsi"/>
          <w:color w:val="365F91" w:themeColor="accent1" w:themeShade="BF"/>
          <w:sz w:val="20"/>
          <w:szCs w:val="20"/>
        </w:rPr>
        <w:t xml:space="preserve"> continue </w:t>
      </w:r>
      <w:r w:rsidR="00B1108F" w:rsidRPr="00F218C3">
        <w:rPr>
          <w:rFonts w:asciiTheme="minorHAnsi" w:hAnsiTheme="minorHAnsi"/>
          <w:color w:val="365F91" w:themeColor="accent1" w:themeShade="BF"/>
          <w:sz w:val="20"/>
          <w:szCs w:val="20"/>
        </w:rPr>
        <w:t>health, dental and vision coverage through COBRA</w:t>
      </w:r>
      <w:r w:rsidR="00900763" w:rsidRPr="00F218C3">
        <w:rPr>
          <w:rFonts w:asciiTheme="minorHAnsi" w:hAnsiTheme="minorHAnsi"/>
          <w:color w:val="365F91" w:themeColor="accent1" w:themeShade="BF"/>
          <w:sz w:val="20"/>
          <w:szCs w:val="20"/>
        </w:rPr>
        <w:t xml:space="preserve"> for up to 18 months</w:t>
      </w:r>
      <w:r w:rsidR="00B1108F" w:rsidRPr="00F218C3">
        <w:rPr>
          <w:rFonts w:asciiTheme="minorHAnsi" w:hAnsiTheme="minorHAnsi"/>
          <w:color w:val="365F91" w:themeColor="accent1" w:themeShade="BF"/>
          <w:sz w:val="20"/>
          <w:szCs w:val="20"/>
        </w:rPr>
        <w:t xml:space="preserve"> if </w:t>
      </w:r>
      <w:r w:rsidR="00900763" w:rsidRPr="00F218C3">
        <w:rPr>
          <w:rFonts w:asciiTheme="minorHAnsi" w:hAnsiTheme="minorHAnsi"/>
          <w:color w:val="365F91" w:themeColor="accent1" w:themeShade="BF"/>
          <w:sz w:val="20"/>
          <w:szCs w:val="20"/>
        </w:rPr>
        <w:t xml:space="preserve">you were </w:t>
      </w:r>
      <w:r w:rsidR="00B1108F" w:rsidRPr="00F218C3">
        <w:rPr>
          <w:rFonts w:asciiTheme="minorHAnsi" w:hAnsiTheme="minorHAnsi"/>
          <w:color w:val="365F91" w:themeColor="accent1" w:themeShade="BF"/>
          <w:sz w:val="20"/>
          <w:szCs w:val="20"/>
        </w:rPr>
        <w:t xml:space="preserve">enrolled </w:t>
      </w:r>
      <w:r w:rsidR="00900763" w:rsidRPr="00F218C3">
        <w:rPr>
          <w:rFonts w:asciiTheme="minorHAnsi" w:hAnsiTheme="minorHAnsi"/>
          <w:color w:val="365F91" w:themeColor="accent1" w:themeShade="BF"/>
          <w:sz w:val="20"/>
          <w:szCs w:val="20"/>
        </w:rPr>
        <w:t xml:space="preserve">in those plans </w:t>
      </w:r>
      <w:r w:rsidR="00B1108F" w:rsidRPr="00F218C3">
        <w:rPr>
          <w:rFonts w:asciiTheme="minorHAnsi" w:hAnsiTheme="minorHAnsi"/>
          <w:color w:val="365F91" w:themeColor="accent1" w:themeShade="BF"/>
          <w:sz w:val="20"/>
          <w:szCs w:val="20"/>
        </w:rPr>
        <w:t xml:space="preserve">at the time of </w:t>
      </w:r>
      <w:r w:rsidR="00B1108F" w:rsidRPr="00300B62">
        <w:rPr>
          <w:rFonts w:asciiTheme="minorHAnsi" w:hAnsiTheme="minorHAnsi"/>
          <w:color w:val="365F91" w:themeColor="accent1" w:themeShade="BF"/>
          <w:sz w:val="20"/>
          <w:szCs w:val="20"/>
        </w:rPr>
        <w:t>termination.</w:t>
      </w:r>
    </w:p>
    <w:p w:rsidR="0043607C" w:rsidRDefault="0043607C" w:rsidP="0043607C">
      <w:pPr>
        <w:rPr>
          <w:rFonts w:asciiTheme="minorHAnsi" w:hAnsiTheme="minorHAnsi"/>
          <w:color w:val="365F91" w:themeColor="accent1" w:themeShade="BF"/>
          <w:sz w:val="20"/>
          <w:szCs w:val="20"/>
        </w:rPr>
      </w:pPr>
    </w:p>
    <w:p w:rsidR="003E5EC4" w:rsidRDefault="003E5EC4" w:rsidP="0043607C">
      <w:pPr>
        <w:rPr>
          <w:rFonts w:asciiTheme="minorHAnsi" w:hAnsiTheme="minorHAnsi"/>
          <w:color w:val="365F91" w:themeColor="accent1" w:themeShade="BF"/>
          <w:sz w:val="20"/>
          <w:szCs w:val="20"/>
        </w:rPr>
      </w:pPr>
    </w:p>
    <w:p w:rsidR="003E5EC4" w:rsidRPr="00300B62" w:rsidRDefault="003E5EC4" w:rsidP="0043607C">
      <w:pPr>
        <w:rPr>
          <w:rFonts w:asciiTheme="minorHAnsi" w:hAnsiTheme="minorHAnsi"/>
          <w:color w:val="365F91" w:themeColor="accent1" w:themeShade="BF"/>
          <w:sz w:val="20"/>
          <w:szCs w:val="20"/>
        </w:rPr>
      </w:pPr>
    </w:p>
    <w:p w:rsidR="0043607C" w:rsidRPr="0043607C" w:rsidRDefault="0043607C" w:rsidP="0043607C">
      <w:pPr>
        <w:pStyle w:val="ListParagraph"/>
        <w:numPr>
          <w:ilvl w:val="0"/>
          <w:numId w:val="4"/>
        </w:numPr>
        <w:spacing w:line="276" w:lineRule="auto"/>
        <w:contextualSpacing/>
        <w:rPr>
          <w:rFonts w:asciiTheme="minorHAnsi" w:hAnsiTheme="minorHAnsi"/>
          <w:sz w:val="20"/>
          <w:szCs w:val="20"/>
        </w:rPr>
      </w:pPr>
      <w:r w:rsidRPr="0043607C">
        <w:rPr>
          <w:rFonts w:asciiTheme="minorHAnsi" w:hAnsiTheme="minorHAnsi"/>
          <w:sz w:val="20"/>
          <w:szCs w:val="20"/>
        </w:rPr>
        <w:lastRenderedPageBreak/>
        <w:t xml:space="preserve">What happens if </w:t>
      </w:r>
      <w:r w:rsidR="00F218C3">
        <w:rPr>
          <w:rFonts w:asciiTheme="minorHAnsi" w:hAnsiTheme="minorHAnsi"/>
          <w:sz w:val="20"/>
          <w:szCs w:val="20"/>
        </w:rPr>
        <w:t>I have</w:t>
      </w:r>
      <w:r w:rsidRPr="0043607C">
        <w:rPr>
          <w:rFonts w:asciiTheme="minorHAnsi" w:hAnsiTheme="minorHAnsi"/>
          <w:sz w:val="20"/>
          <w:szCs w:val="20"/>
        </w:rPr>
        <w:t xml:space="preserve"> coverage</w:t>
      </w:r>
      <w:r w:rsidR="00F218C3">
        <w:rPr>
          <w:rFonts w:asciiTheme="minorHAnsi" w:hAnsiTheme="minorHAnsi"/>
          <w:sz w:val="20"/>
          <w:szCs w:val="20"/>
        </w:rPr>
        <w:t xml:space="preserve"> but I’m </w:t>
      </w:r>
      <w:r w:rsidRPr="0043607C">
        <w:rPr>
          <w:rFonts w:asciiTheme="minorHAnsi" w:hAnsiTheme="minorHAnsi"/>
          <w:sz w:val="20"/>
          <w:szCs w:val="20"/>
        </w:rPr>
        <w:t>determined to be ineligible during the</w:t>
      </w:r>
      <w:r w:rsidR="00F218C3">
        <w:rPr>
          <w:rFonts w:asciiTheme="minorHAnsi" w:hAnsiTheme="minorHAnsi"/>
          <w:sz w:val="20"/>
          <w:szCs w:val="20"/>
        </w:rPr>
        <w:t xml:space="preserve"> next</w:t>
      </w:r>
      <w:r w:rsidRPr="0043607C">
        <w:rPr>
          <w:rFonts w:asciiTheme="minorHAnsi" w:hAnsiTheme="minorHAnsi"/>
          <w:sz w:val="20"/>
          <w:szCs w:val="20"/>
        </w:rPr>
        <w:t xml:space="preserve"> </w:t>
      </w:r>
      <w:r w:rsidR="00F218C3">
        <w:rPr>
          <w:rFonts w:asciiTheme="minorHAnsi" w:hAnsiTheme="minorHAnsi"/>
          <w:sz w:val="20"/>
          <w:szCs w:val="20"/>
        </w:rPr>
        <w:t>open enrollment</w:t>
      </w:r>
      <w:r w:rsidRPr="0043607C">
        <w:rPr>
          <w:rFonts w:asciiTheme="minorHAnsi" w:hAnsiTheme="minorHAnsi"/>
          <w:sz w:val="20"/>
          <w:szCs w:val="20"/>
        </w:rPr>
        <w:t xml:space="preserve"> measurement period?</w:t>
      </w:r>
    </w:p>
    <w:p w:rsidR="0043607C" w:rsidRDefault="00904F15" w:rsidP="00300B62">
      <w:pPr>
        <w:spacing w:line="276" w:lineRule="auto"/>
        <w:ind w:left="360"/>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All c</w:t>
      </w:r>
      <w:r w:rsidR="0043607C" w:rsidRPr="00300B62">
        <w:rPr>
          <w:rFonts w:asciiTheme="minorHAnsi" w:hAnsiTheme="minorHAnsi"/>
          <w:color w:val="365F91" w:themeColor="accent1" w:themeShade="BF"/>
          <w:sz w:val="20"/>
          <w:szCs w:val="20"/>
        </w:rPr>
        <w:t xml:space="preserve">overage will </w:t>
      </w:r>
      <w:r>
        <w:rPr>
          <w:rFonts w:asciiTheme="minorHAnsi" w:hAnsiTheme="minorHAnsi"/>
          <w:color w:val="365F91" w:themeColor="accent1" w:themeShade="BF"/>
          <w:sz w:val="20"/>
          <w:szCs w:val="20"/>
        </w:rPr>
        <w:t>terminate</w:t>
      </w:r>
      <w:r w:rsidRPr="00300B62">
        <w:rPr>
          <w:rFonts w:asciiTheme="minorHAnsi" w:hAnsiTheme="minorHAnsi"/>
          <w:color w:val="365F91" w:themeColor="accent1" w:themeShade="BF"/>
          <w:sz w:val="20"/>
          <w:szCs w:val="20"/>
        </w:rPr>
        <w:t xml:space="preserve"> </w:t>
      </w:r>
      <w:r w:rsidR="0043607C" w:rsidRPr="00300B62">
        <w:rPr>
          <w:rFonts w:asciiTheme="minorHAnsi" w:hAnsiTheme="minorHAnsi"/>
          <w:color w:val="365F91" w:themeColor="accent1" w:themeShade="BF"/>
          <w:sz w:val="20"/>
          <w:szCs w:val="20"/>
        </w:rPr>
        <w:t xml:space="preserve">at the end of </w:t>
      </w:r>
      <w:r w:rsidR="00F218C3" w:rsidRPr="00300B62">
        <w:rPr>
          <w:rFonts w:asciiTheme="minorHAnsi" w:hAnsiTheme="minorHAnsi"/>
          <w:color w:val="365F91" w:themeColor="accent1" w:themeShade="BF"/>
          <w:sz w:val="20"/>
          <w:szCs w:val="20"/>
        </w:rPr>
        <w:t>your</w:t>
      </w:r>
      <w:r w:rsidR="0043607C" w:rsidRPr="00300B62">
        <w:rPr>
          <w:rFonts w:asciiTheme="minorHAnsi" w:hAnsiTheme="minorHAnsi"/>
          <w:color w:val="365F91" w:themeColor="accent1" w:themeShade="BF"/>
          <w:sz w:val="20"/>
          <w:szCs w:val="20"/>
        </w:rPr>
        <w:t xml:space="preserve"> 12-month </w:t>
      </w:r>
      <w:r>
        <w:rPr>
          <w:rFonts w:asciiTheme="minorHAnsi" w:hAnsiTheme="minorHAnsi"/>
          <w:color w:val="365F91" w:themeColor="accent1" w:themeShade="BF"/>
          <w:sz w:val="20"/>
          <w:szCs w:val="20"/>
        </w:rPr>
        <w:t xml:space="preserve">health insurance </w:t>
      </w:r>
      <w:r w:rsidR="0043607C" w:rsidRPr="00300B62">
        <w:rPr>
          <w:rFonts w:asciiTheme="minorHAnsi" w:hAnsiTheme="minorHAnsi"/>
          <w:color w:val="365F91" w:themeColor="accent1" w:themeShade="BF"/>
          <w:sz w:val="20"/>
          <w:szCs w:val="20"/>
        </w:rPr>
        <w:t xml:space="preserve">stability period; however, </w:t>
      </w:r>
      <w:r w:rsidR="00F218C3" w:rsidRPr="00300B62">
        <w:rPr>
          <w:rFonts w:asciiTheme="minorHAnsi" w:hAnsiTheme="minorHAnsi"/>
          <w:color w:val="365F91" w:themeColor="accent1" w:themeShade="BF"/>
          <w:sz w:val="20"/>
          <w:szCs w:val="20"/>
        </w:rPr>
        <w:t>you can continue health, dental and vision coverage through COBRA for up to 18 months if you were enrolled in those plans at the time of your ineligibility</w:t>
      </w:r>
      <w:r w:rsidR="0043607C" w:rsidRPr="00300B62">
        <w:rPr>
          <w:rFonts w:asciiTheme="minorHAnsi" w:hAnsiTheme="minorHAnsi"/>
          <w:color w:val="365F91" w:themeColor="accent1" w:themeShade="BF"/>
          <w:sz w:val="20"/>
          <w:szCs w:val="20"/>
        </w:rPr>
        <w:t xml:space="preserve">. Eligibility for the subsequent plan year will be measured during the next </w:t>
      </w:r>
      <w:r w:rsidR="00F218C3" w:rsidRPr="00300B62">
        <w:rPr>
          <w:rFonts w:asciiTheme="minorHAnsi" w:hAnsiTheme="minorHAnsi"/>
          <w:color w:val="365F91" w:themeColor="accent1" w:themeShade="BF"/>
          <w:sz w:val="20"/>
          <w:szCs w:val="20"/>
        </w:rPr>
        <w:t>open enrollment</w:t>
      </w:r>
      <w:r w:rsidR="0043607C" w:rsidRPr="00300B62">
        <w:rPr>
          <w:rFonts w:asciiTheme="minorHAnsi" w:hAnsiTheme="minorHAnsi"/>
          <w:color w:val="365F91" w:themeColor="accent1" w:themeShade="BF"/>
          <w:sz w:val="20"/>
          <w:szCs w:val="20"/>
        </w:rPr>
        <w:t xml:space="preserve"> measurement period.</w:t>
      </w:r>
    </w:p>
    <w:p w:rsidR="003E5EC4" w:rsidRDefault="003E5EC4" w:rsidP="00300B62">
      <w:pPr>
        <w:spacing w:line="276" w:lineRule="auto"/>
        <w:ind w:left="360"/>
        <w:contextualSpacing/>
        <w:rPr>
          <w:rFonts w:asciiTheme="minorHAnsi" w:hAnsiTheme="minorHAnsi"/>
          <w:color w:val="365F91" w:themeColor="accent1" w:themeShade="BF"/>
          <w:sz w:val="20"/>
          <w:szCs w:val="20"/>
        </w:rPr>
      </w:pPr>
    </w:p>
    <w:p w:rsidR="003E5EC4" w:rsidRDefault="003E5EC4" w:rsidP="003E5EC4">
      <w:pPr>
        <w:pStyle w:val="ListParagraph"/>
        <w:numPr>
          <w:ilvl w:val="0"/>
          <w:numId w:val="4"/>
        </w:numPr>
        <w:rPr>
          <w:rFonts w:asciiTheme="minorHAnsi" w:hAnsiTheme="minorHAnsi"/>
          <w:color w:val="365F91" w:themeColor="accent1" w:themeShade="BF"/>
          <w:sz w:val="20"/>
          <w:szCs w:val="20"/>
        </w:rPr>
      </w:pPr>
      <w:r w:rsidRPr="00A9396A">
        <w:rPr>
          <w:rFonts w:asciiTheme="minorHAnsi" w:hAnsiTheme="minorHAnsi"/>
          <w:sz w:val="20"/>
          <w:szCs w:val="20"/>
        </w:rPr>
        <w:t xml:space="preserve">What will the effective date of coverage for OPS employees </w:t>
      </w:r>
      <w:proofErr w:type="gramStart"/>
      <w:r w:rsidRPr="00A9396A">
        <w:rPr>
          <w:rFonts w:asciiTheme="minorHAnsi" w:hAnsiTheme="minorHAnsi"/>
          <w:sz w:val="20"/>
          <w:szCs w:val="20"/>
        </w:rPr>
        <w:t>be</w:t>
      </w:r>
      <w:proofErr w:type="gramEnd"/>
      <w:r w:rsidRPr="00A9396A">
        <w:rPr>
          <w:rFonts w:asciiTheme="minorHAnsi" w:hAnsiTheme="minorHAnsi"/>
          <w:sz w:val="20"/>
          <w:szCs w:val="20"/>
        </w:rPr>
        <w:t>?</w:t>
      </w:r>
    </w:p>
    <w:p w:rsidR="003E5EC4" w:rsidRDefault="003E5EC4" w:rsidP="003E5EC4">
      <w:pPr>
        <w:ind w:left="36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Effective dates of health coverage depend on the point in time you are determined to be eligible.</w:t>
      </w:r>
    </w:p>
    <w:p w:rsidR="003E5EC4" w:rsidRDefault="003E5EC4" w:rsidP="003E5EC4">
      <w:pPr>
        <w:ind w:left="36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Following are the earliest possible effective dates:</w:t>
      </w:r>
    </w:p>
    <w:p w:rsidR="003E5EC4" w:rsidRDefault="003E5EC4" w:rsidP="003E5EC4">
      <w:pPr>
        <w:pStyle w:val="ListParagraph"/>
        <w:numPr>
          <w:ilvl w:val="1"/>
          <w:numId w:val="9"/>
        </w:numPr>
        <w:spacing w:line="276" w:lineRule="auto"/>
        <w:ind w:left="720"/>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Coverage will begin at the earliest for any eligible OPS employee on Jan. 1, 2014</w:t>
      </w:r>
    </w:p>
    <w:p w:rsidR="003E5EC4" w:rsidRDefault="003E5EC4" w:rsidP="003E5EC4">
      <w:pPr>
        <w:pStyle w:val="ListParagraph"/>
        <w:numPr>
          <w:ilvl w:val="1"/>
          <w:numId w:val="9"/>
        </w:numPr>
        <w:spacing w:line="276" w:lineRule="auto"/>
        <w:ind w:left="720"/>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New hire expected to work 30 hours or more on average per week: the first day of the third month of employment</w:t>
      </w:r>
    </w:p>
    <w:p w:rsidR="003E5EC4" w:rsidRDefault="003E5EC4" w:rsidP="003E5EC4">
      <w:pPr>
        <w:pStyle w:val="ListParagraph"/>
        <w:numPr>
          <w:ilvl w:val="1"/>
          <w:numId w:val="9"/>
        </w:numPr>
        <w:spacing w:line="276" w:lineRule="auto"/>
        <w:ind w:left="720"/>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OPS employee measured for the new hire measurement period and meets the eligibility requirements: first day of the second month that follows the new hire measurement period</w:t>
      </w:r>
    </w:p>
    <w:p w:rsidR="003E5EC4" w:rsidRDefault="003E5EC4" w:rsidP="003E5EC4">
      <w:pPr>
        <w:pStyle w:val="ListParagraph"/>
        <w:numPr>
          <w:ilvl w:val="1"/>
          <w:numId w:val="9"/>
        </w:numPr>
        <w:spacing w:line="276" w:lineRule="auto"/>
        <w:ind w:left="720"/>
        <w:contextualSpacing/>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 xml:space="preserve">OPS employee in new hire measurement period experiences an employment status change to at least 30 hours worked per week (PAR required): the first day of the second month following the employment status change or the first day of the second month that follows the new hire measurement period, whichever is earlier </w:t>
      </w:r>
    </w:p>
    <w:p w:rsidR="0043607C" w:rsidRDefault="003E5EC4" w:rsidP="003E5EC4">
      <w:pPr>
        <w:pStyle w:val="ListParagraph"/>
        <w:numPr>
          <w:ilvl w:val="1"/>
          <w:numId w:val="9"/>
        </w:numPr>
        <w:spacing w:line="276" w:lineRule="auto"/>
        <w:ind w:left="720"/>
        <w:contextualSpacing/>
        <w:rPr>
          <w:rFonts w:asciiTheme="minorHAnsi" w:hAnsiTheme="minorHAnsi"/>
          <w:color w:val="365F91" w:themeColor="accent1" w:themeShade="BF"/>
          <w:sz w:val="20"/>
          <w:szCs w:val="20"/>
        </w:rPr>
      </w:pPr>
      <w:r w:rsidRPr="003E5EC4">
        <w:rPr>
          <w:rFonts w:asciiTheme="minorHAnsi" w:hAnsiTheme="minorHAnsi"/>
          <w:color w:val="365F91" w:themeColor="accent1" w:themeShade="BF"/>
          <w:sz w:val="20"/>
          <w:szCs w:val="20"/>
        </w:rPr>
        <w:t>OPS employee meets the eligibility requirements in the open enrollment measurement period: Jan. 1 of the plan year following the measurement period.</w:t>
      </w:r>
    </w:p>
    <w:p w:rsidR="003E5EC4" w:rsidRDefault="003E5EC4" w:rsidP="003E5EC4">
      <w:pPr>
        <w:pStyle w:val="ListParagraph"/>
        <w:spacing w:line="276" w:lineRule="auto"/>
        <w:contextualSpacing/>
        <w:rPr>
          <w:rFonts w:asciiTheme="minorHAnsi" w:hAnsiTheme="minorHAnsi"/>
          <w:color w:val="365F91" w:themeColor="accent1" w:themeShade="BF"/>
          <w:sz w:val="20"/>
          <w:szCs w:val="20"/>
        </w:rPr>
      </w:pPr>
    </w:p>
    <w:p w:rsidR="003E5EC4" w:rsidRPr="003E5EC4" w:rsidRDefault="003E5EC4" w:rsidP="003E5EC4">
      <w:pPr>
        <w:pStyle w:val="ListParagraph"/>
        <w:numPr>
          <w:ilvl w:val="0"/>
          <w:numId w:val="4"/>
        </w:numPr>
        <w:rPr>
          <w:rFonts w:asciiTheme="minorHAnsi" w:hAnsiTheme="minorHAnsi"/>
          <w:sz w:val="20"/>
          <w:szCs w:val="20"/>
        </w:rPr>
      </w:pPr>
      <w:r w:rsidRPr="003E5EC4">
        <w:rPr>
          <w:rFonts w:asciiTheme="minorHAnsi" w:hAnsiTheme="minorHAnsi"/>
          <w:sz w:val="20"/>
          <w:szCs w:val="20"/>
        </w:rPr>
        <w:t>Do OPS/variable hour employees have to follow cafeteria plan rules?</w:t>
      </w:r>
    </w:p>
    <w:p w:rsidR="003E5EC4" w:rsidRPr="003E5EC4" w:rsidRDefault="003E5EC4" w:rsidP="003E5EC4">
      <w:pPr>
        <w:ind w:left="36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Yes. OPS/variable hour employees are required, as cafeteria plan members, to follow all rules of the State Group Insurance Program, including events listed in the QSC Matrix. The Matrix will be revised to account for these employees and their special qualifying events.</w:t>
      </w:r>
      <w:bookmarkStart w:id="0" w:name="_GoBack"/>
      <w:bookmarkEnd w:id="0"/>
    </w:p>
    <w:sectPr w:rsidR="003E5EC4" w:rsidRPr="003E5EC4" w:rsidSect="000818A1">
      <w:headerReference w:type="default" r:id="rId8"/>
      <w:footerReference w:type="default" r:id="rId9"/>
      <w:pgSz w:w="12240" w:h="15840"/>
      <w:pgMar w:top="1889" w:right="1440" w:bottom="1080" w:left="1440" w:header="900" w:footer="6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FF3" w:rsidRDefault="00F32FF3" w:rsidP="005F35AB">
      <w:r>
        <w:separator/>
      </w:r>
    </w:p>
  </w:endnote>
  <w:endnote w:type="continuationSeparator" w:id="0">
    <w:p w:rsidR="00F32FF3" w:rsidRDefault="00F32FF3" w:rsidP="005F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18699"/>
      <w:docPartObj>
        <w:docPartGallery w:val="Page Numbers (Bottom of Page)"/>
        <w:docPartUnique/>
      </w:docPartObj>
    </w:sdtPr>
    <w:sdtEndPr>
      <w:rPr>
        <w:noProof/>
        <w:sz w:val="16"/>
      </w:rPr>
    </w:sdtEndPr>
    <w:sdtContent>
      <w:p w:rsidR="00CA0C31" w:rsidRPr="00A4277D" w:rsidRDefault="00CA0C31">
        <w:pPr>
          <w:pStyle w:val="Footer"/>
          <w:jc w:val="center"/>
          <w:rPr>
            <w:sz w:val="16"/>
          </w:rPr>
        </w:pPr>
        <w:r w:rsidRPr="00A4277D">
          <w:rPr>
            <w:sz w:val="16"/>
          </w:rPr>
          <w:fldChar w:fldCharType="begin"/>
        </w:r>
        <w:r w:rsidRPr="00A4277D">
          <w:rPr>
            <w:sz w:val="16"/>
          </w:rPr>
          <w:instrText xml:space="preserve"> PAGE   \* MERGEFORMAT </w:instrText>
        </w:r>
        <w:r w:rsidRPr="00A4277D">
          <w:rPr>
            <w:sz w:val="16"/>
          </w:rPr>
          <w:fldChar w:fldCharType="separate"/>
        </w:r>
        <w:r w:rsidR="003E5EC4">
          <w:rPr>
            <w:noProof/>
            <w:sz w:val="16"/>
          </w:rPr>
          <w:t>3</w:t>
        </w:r>
        <w:r w:rsidRPr="00A4277D">
          <w:rPr>
            <w:noProof/>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FF3" w:rsidRDefault="00F32FF3" w:rsidP="005F35AB">
      <w:r>
        <w:separator/>
      </w:r>
    </w:p>
  </w:footnote>
  <w:footnote w:type="continuationSeparator" w:id="0">
    <w:p w:rsidR="00F32FF3" w:rsidRDefault="00F32FF3" w:rsidP="005F3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AB" w:rsidRPr="00A868A5" w:rsidRDefault="00A868A5" w:rsidP="00A868A5">
    <w:pPr>
      <w:pStyle w:val="Header"/>
      <w:jc w:val="right"/>
      <w:rPr>
        <w:sz w:val="28"/>
      </w:rPr>
    </w:pPr>
    <w:r w:rsidRPr="00A868A5">
      <w:rPr>
        <w:noProof/>
        <w:sz w:val="28"/>
      </w:rPr>
      <w:drawing>
        <wp:anchor distT="0" distB="0" distL="114300" distR="114300" simplePos="0" relativeHeight="251658240" behindDoc="1" locked="0" layoutInCell="1" allowOverlap="1" wp14:anchorId="6C61AF8F" wp14:editId="7A98EECA">
          <wp:simplePos x="0" y="0"/>
          <wp:positionH relativeFrom="column">
            <wp:posOffset>-19050</wp:posOffset>
          </wp:positionH>
          <wp:positionV relativeFrom="paragraph">
            <wp:posOffset>-297815</wp:posOffset>
          </wp:positionV>
          <wp:extent cx="2276856" cy="740882"/>
          <wp:effectExtent l="0" t="0" r="0" b="2540"/>
          <wp:wrapTight wrapText="bothSides">
            <wp:wrapPolygon edited="0">
              <wp:start x="0" y="0"/>
              <wp:lineTo x="0" y="21118"/>
              <wp:lineTo x="21329" y="21118"/>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Group-Insuranc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856" cy="740882"/>
                  </a:xfrm>
                  <a:prstGeom prst="rect">
                    <a:avLst/>
                  </a:prstGeom>
                </pic:spPr>
              </pic:pic>
            </a:graphicData>
          </a:graphic>
          <wp14:sizeRelH relativeFrom="page">
            <wp14:pctWidth>0</wp14:pctWidth>
          </wp14:sizeRelH>
          <wp14:sizeRelV relativeFrom="page">
            <wp14:pctHeight>0</wp14:pctHeight>
          </wp14:sizeRelV>
        </wp:anchor>
      </w:drawing>
    </w:r>
    <w:r w:rsidR="00267F11" w:rsidRPr="00A868A5">
      <w:rPr>
        <w:sz w:val="28"/>
      </w:rPr>
      <w:t>FAQs</w:t>
    </w:r>
    <w:r>
      <w:rPr>
        <w:sz w:val="28"/>
      </w:rPr>
      <w:t xml:space="preserve"> for</w:t>
    </w:r>
    <w:r w:rsidR="00A4277D">
      <w:rPr>
        <w:sz w:val="28"/>
      </w:rPr>
      <w:t xml:space="preserve"> Variable Hour</w:t>
    </w:r>
    <w:r>
      <w:rPr>
        <w:sz w:val="28"/>
      </w:rPr>
      <w:t xml:space="preserve"> </w:t>
    </w:r>
    <w:r w:rsidR="00A4277D">
      <w:rPr>
        <w:sz w:val="28"/>
      </w:rPr>
      <w:t>(</w:t>
    </w:r>
    <w:r w:rsidRPr="00A868A5">
      <w:rPr>
        <w:sz w:val="28"/>
      </w:rPr>
      <w:t>OPS</w:t>
    </w:r>
    <w:r w:rsidR="00A4277D">
      <w:rPr>
        <w:sz w:val="28"/>
      </w:rPr>
      <w:t>)</w:t>
    </w:r>
    <w:r w:rsidRPr="00A868A5">
      <w:rPr>
        <w:sz w:val="28"/>
      </w:rPr>
      <w:t xml:space="preserve"> Employees</w:t>
    </w:r>
  </w:p>
  <w:p w:rsidR="005F35AB" w:rsidRPr="00D27B31" w:rsidRDefault="00904F15" w:rsidP="00A868A5">
    <w:pPr>
      <w:pStyle w:val="Header"/>
      <w:pBdr>
        <w:bottom w:val="single" w:sz="4" w:space="1" w:color="auto"/>
      </w:pBdr>
      <w:jc w:val="right"/>
      <w:rPr>
        <w:sz w:val="24"/>
        <w:szCs w:val="24"/>
      </w:rPr>
    </w:pPr>
    <w:r w:rsidRPr="00D27B31">
      <w:rPr>
        <w:sz w:val="24"/>
        <w:szCs w:val="24"/>
      </w:rPr>
      <w:t xml:space="preserve">Revised </w:t>
    </w:r>
    <w:r w:rsidR="00D27B31">
      <w:rPr>
        <w:sz w:val="24"/>
        <w:szCs w:val="24"/>
      </w:rPr>
      <w:t>September 3</w:t>
    </w:r>
    <w:r w:rsidR="005F35AB" w:rsidRPr="00D27B31">
      <w:rPr>
        <w:sz w:val="24"/>
        <w:szCs w:val="24"/>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E92"/>
    <w:multiLevelType w:val="hybridMultilevel"/>
    <w:tmpl w:val="4636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97557"/>
    <w:multiLevelType w:val="hybridMultilevel"/>
    <w:tmpl w:val="B1AC8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C711E"/>
    <w:multiLevelType w:val="hybridMultilevel"/>
    <w:tmpl w:val="2190F2B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037721"/>
    <w:multiLevelType w:val="hybridMultilevel"/>
    <w:tmpl w:val="16B2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C0135"/>
    <w:multiLevelType w:val="hybridMultilevel"/>
    <w:tmpl w:val="00A4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D42CC"/>
    <w:multiLevelType w:val="hybridMultilevel"/>
    <w:tmpl w:val="9824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742F2"/>
    <w:multiLevelType w:val="hybridMultilevel"/>
    <w:tmpl w:val="E76A6DA4"/>
    <w:lvl w:ilvl="0" w:tplc="F2D21056">
      <w:start w:val="1"/>
      <w:numFmt w:val="bullet"/>
      <w:lvlText w:val=""/>
      <w:lvlJc w:val="left"/>
      <w:pPr>
        <w:ind w:left="360" w:hanging="360"/>
      </w:pPr>
      <w:rPr>
        <w:rFonts w:ascii="Symbol" w:hAnsi="Symbol" w:hint="default"/>
        <w:color w:val="17365D" w:themeColor="text2"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9C59B1"/>
    <w:multiLevelType w:val="hybridMultilevel"/>
    <w:tmpl w:val="E9E45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205A2"/>
    <w:multiLevelType w:val="hybridMultilevel"/>
    <w:tmpl w:val="9B3A7974"/>
    <w:lvl w:ilvl="0" w:tplc="F7F07EA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D365D3"/>
    <w:multiLevelType w:val="hybridMultilevel"/>
    <w:tmpl w:val="9D4AA2CC"/>
    <w:lvl w:ilvl="0" w:tplc="F2D21056">
      <w:start w:val="1"/>
      <w:numFmt w:val="bullet"/>
      <w:lvlText w:val=""/>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37C7C"/>
    <w:multiLevelType w:val="hybridMultilevel"/>
    <w:tmpl w:val="0A42F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45C17"/>
    <w:multiLevelType w:val="hybridMultilevel"/>
    <w:tmpl w:val="F642C360"/>
    <w:lvl w:ilvl="0" w:tplc="0409000F">
      <w:start w:val="1"/>
      <w:numFmt w:val="decimal"/>
      <w:lvlText w:val="%1."/>
      <w:lvlJc w:val="left"/>
      <w:pPr>
        <w:ind w:left="360" w:hanging="360"/>
      </w:pPr>
    </w:lvl>
    <w:lvl w:ilvl="1" w:tplc="E5EE6D9E">
      <w:start w:val="1"/>
      <w:numFmt w:val="bullet"/>
      <w:lvlText w:val=""/>
      <w:lvlJc w:val="left"/>
      <w:pPr>
        <w:ind w:left="1080" w:hanging="360"/>
      </w:pPr>
      <w:rPr>
        <w:rFonts w:ascii="Symbol" w:hAnsi="Symbol" w:hint="default"/>
        <w:color w:val="365F91" w:themeColor="accent1" w:themeShade="BF"/>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77A742C"/>
    <w:multiLevelType w:val="hybridMultilevel"/>
    <w:tmpl w:val="36E09B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3570D"/>
    <w:multiLevelType w:val="hybridMultilevel"/>
    <w:tmpl w:val="0A409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43610E"/>
    <w:multiLevelType w:val="hybridMultilevel"/>
    <w:tmpl w:val="47D88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F94003"/>
    <w:multiLevelType w:val="hybridMultilevel"/>
    <w:tmpl w:val="0BBEF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AD7082"/>
    <w:multiLevelType w:val="hybridMultilevel"/>
    <w:tmpl w:val="03A08FF4"/>
    <w:lvl w:ilvl="0" w:tplc="F2D21056">
      <w:start w:val="1"/>
      <w:numFmt w:val="bullet"/>
      <w:lvlText w:val=""/>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8"/>
  </w:num>
  <w:num w:numId="5">
    <w:abstractNumId w:val="16"/>
  </w:num>
  <w:num w:numId="6">
    <w:abstractNumId w:val="6"/>
  </w:num>
  <w:num w:numId="7">
    <w:abstractNumId w:val="7"/>
  </w:num>
  <w:num w:numId="8">
    <w:abstractNumId w:val="3"/>
  </w:num>
  <w:num w:numId="9">
    <w:abstractNumId w:val="11"/>
  </w:num>
  <w:num w:numId="10">
    <w:abstractNumId w:val="2"/>
  </w:num>
  <w:num w:numId="11">
    <w:abstractNumId w:val="12"/>
  </w:num>
  <w:num w:numId="12">
    <w:abstractNumId w:val="1"/>
  </w:num>
  <w:num w:numId="13">
    <w:abstractNumId w:val="10"/>
  </w:num>
  <w:num w:numId="14">
    <w:abstractNumId w:val="14"/>
  </w:num>
  <w:num w:numId="15">
    <w:abstractNumId w:val="5"/>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AB"/>
    <w:rsid w:val="00033A5B"/>
    <w:rsid w:val="000818A1"/>
    <w:rsid w:val="001654E5"/>
    <w:rsid w:val="001A30CE"/>
    <w:rsid w:val="001B4DFC"/>
    <w:rsid w:val="001C0CF6"/>
    <w:rsid w:val="001E472A"/>
    <w:rsid w:val="001E4F74"/>
    <w:rsid w:val="00206F72"/>
    <w:rsid w:val="002275F7"/>
    <w:rsid w:val="00267F11"/>
    <w:rsid w:val="002E3089"/>
    <w:rsid w:val="002F4CBD"/>
    <w:rsid w:val="00300B62"/>
    <w:rsid w:val="00312732"/>
    <w:rsid w:val="003B786D"/>
    <w:rsid w:val="003E5EC4"/>
    <w:rsid w:val="0043607C"/>
    <w:rsid w:val="004E6F06"/>
    <w:rsid w:val="00594A0D"/>
    <w:rsid w:val="005F35AB"/>
    <w:rsid w:val="006079AB"/>
    <w:rsid w:val="0062771A"/>
    <w:rsid w:val="00663582"/>
    <w:rsid w:val="00676116"/>
    <w:rsid w:val="00774D00"/>
    <w:rsid w:val="007B2ADE"/>
    <w:rsid w:val="007B5B14"/>
    <w:rsid w:val="008166A0"/>
    <w:rsid w:val="00843863"/>
    <w:rsid w:val="00900763"/>
    <w:rsid w:val="00904F15"/>
    <w:rsid w:val="00933957"/>
    <w:rsid w:val="00957647"/>
    <w:rsid w:val="00962568"/>
    <w:rsid w:val="009A05EE"/>
    <w:rsid w:val="009B418F"/>
    <w:rsid w:val="009B664D"/>
    <w:rsid w:val="00A4277D"/>
    <w:rsid w:val="00A868A5"/>
    <w:rsid w:val="00A92098"/>
    <w:rsid w:val="00AA3E31"/>
    <w:rsid w:val="00AB4936"/>
    <w:rsid w:val="00AC1A65"/>
    <w:rsid w:val="00B1108F"/>
    <w:rsid w:val="00B31858"/>
    <w:rsid w:val="00C37A0E"/>
    <w:rsid w:val="00C41D90"/>
    <w:rsid w:val="00C83946"/>
    <w:rsid w:val="00CA0C31"/>
    <w:rsid w:val="00CF05F8"/>
    <w:rsid w:val="00CF7444"/>
    <w:rsid w:val="00D27B31"/>
    <w:rsid w:val="00DB4724"/>
    <w:rsid w:val="00DF6473"/>
    <w:rsid w:val="00ED5A61"/>
    <w:rsid w:val="00F218C3"/>
    <w:rsid w:val="00F32FF3"/>
    <w:rsid w:val="00F42CD2"/>
    <w:rsid w:val="00F6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5AB"/>
    <w:pPr>
      <w:ind w:left="720"/>
    </w:pPr>
  </w:style>
  <w:style w:type="paragraph" w:styleId="Header">
    <w:name w:val="header"/>
    <w:basedOn w:val="Normal"/>
    <w:link w:val="HeaderChar"/>
    <w:uiPriority w:val="99"/>
    <w:unhideWhenUsed/>
    <w:rsid w:val="005F35AB"/>
    <w:pPr>
      <w:tabs>
        <w:tab w:val="center" w:pos="4680"/>
        <w:tab w:val="right" w:pos="9360"/>
      </w:tabs>
    </w:pPr>
  </w:style>
  <w:style w:type="character" w:customStyle="1" w:styleId="HeaderChar">
    <w:name w:val="Header Char"/>
    <w:basedOn w:val="DefaultParagraphFont"/>
    <w:link w:val="Header"/>
    <w:uiPriority w:val="99"/>
    <w:rsid w:val="005F35AB"/>
    <w:rPr>
      <w:rFonts w:ascii="Calibri" w:hAnsi="Calibri" w:cs="Times New Roman"/>
    </w:rPr>
  </w:style>
  <w:style w:type="paragraph" w:styleId="Footer">
    <w:name w:val="footer"/>
    <w:basedOn w:val="Normal"/>
    <w:link w:val="FooterChar"/>
    <w:uiPriority w:val="99"/>
    <w:unhideWhenUsed/>
    <w:rsid w:val="005F35AB"/>
    <w:pPr>
      <w:tabs>
        <w:tab w:val="center" w:pos="4680"/>
        <w:tab w:val="right" w:pos="9360"/>
      </w:tabs>
    </w:pPr>
  </w:style>
  <w:style w:type="character" w:customStyle="1" w:styleId="FooterChar">
    <w:name w:val="Footer Char"/>
    <w:basedOn w:val="DefaultParagraphFont"/>
    <w:link w:val="Footer"/>
    <w:uiPriority w:val="99"/>
    <w:rsid w:val="005F35AB"/>
    <w:rPr>
      <w:rFonts w:ascii="Calibri" w:hAnsi="Calibri" w:cs="Times New Roman"/>
    </w:rPr>
  </w:style>
  <w:style w:type="table" w:styleId="TableGrid">
    <w:name w:val="Table Grid"/>
    <w:basedOn w:val="TableNormal"/>
    <w:uiPriority w:val="59"/>
    <w:rsid w:val="00B11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8A5"/>
    <w:rPr>
      <w:rFonts w:ascii="Tahoma" w:hAnsi="Tahoma" w:cs="Tahoma"/>
      <w:sz w:val="16"/>
      <w:szCs w:val="16"/>
    </w:rPr>
  </w:style>
  <w:style w:type="character" w:customStyle="1" w:styleId="BalloonTextChar">
    <w:name w:val="Balloon Text Char"/>
    <w:basedOn w:val="DefaultParagraphFont"/>
    <w:link w:val="BalloonText"/>
    <w:uiPriority w:val="99"/>
    <w:semiHidden/>
    <w:rsid w:val="00A86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5AB"/>
    <w:pPr>
      <w:ind w:left="720"/>
    </w:pPr>
  </w:style>
  <w:style w:type="paragraph" w:styleId="Header">
    <w:name w:val="header"/>
    <w:basedOn w:val="Normal"/>
    <w:link w:val="HeaderChar"/>
    <w:uiPriority w:val="99"/>
    <w:unhideWhenUsed/>
    <w:rsid w:val="005F35AB"/>
    <w:pPr>
      <w:tabs>
        <w:tab w:val="center" w:pos="4680"/>
        <w:tab w:val="right" w:pos="9360"/>
      </w:tabs>
    </w:pPr>
  </w:style>
  <w:style w:type="character" w:customStyle="1" w:styleId="HeaderChar">
    <w:name w:val="Header Char"/>
    <w:basedOn w:val="DefaultParagraphFont"/>
    <w:link w:val="Header"/>
    <w:uiPriority w:val="99"/>
    <w:rsid w:val="005F35AB"/>
    <w:rPr>
      <w:rFonts w:ascii="Calibri" w:hAnsi="Calibri" w:cs="Times New Roman"/>
    </w:rPr>
  </w:style>
  <w:style w:type="paragraph" w:styleId="Footer">
    <w:name w:val="footer"/>
    <w:basedOn w:val="Normal"/>
    <w:link w:val="FooterChar"/>
    <w:uiPriority w:val="99"/>
    <w:unhideWhenUsed/>
    <w:rsid w:val="005F35AB"/>
    <w:pPr>
      <w:tabs>
        <w:tab w:val="center" w:pos="4680"/>
        <w:tab w:val="right" w:pos="9360"/>
      </w:tabs>
    </w:pPr>
  </w:style>
  <w:style w:type="character" w:customStyle="1" w:styleId="FooterChar">
    <w:name w:val="Footer Char"/>
    <w:basedOn w:val="DefaultParagraphFont"/>
    <w:link w:val="Footer"/>
    <w:uiPriority w:val="99"/>
    <w:rsid w:val="005F35AB"/>
    <w:rPr>
      <w:rFonts w:ascii="Calibri" w:hAnsi="Calibri" w:cs="Times New Roman"/>
    </w:rPr>
  </w:style>
  <w:style w:type="table" w:styleId="TableGrid">
    <w:name w:val="Table Grid"/>
    <w:basedOn w:val="TableNormal"/>
    <w:uiPriority w:val="59"/>
    <w:rsid w:val="00B11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8A5"/>
    <w:rPr>
      <w:rFonts w:ascii="Tahoma" w:hAnsi="Tahoma" w:cs="Tahoma"/>
      <w:sz w:val="16"/>
      <w:szCs w:val="16"/>
    </w:rPr>
  </w:style>
  <w:style w:type="character" w:customStyle="1" w:styleId="BalloonTextChar">
    <w:name w:val="Balloon Text Char"/>
    <w:basedOn w:val="DefaultParagraphFont"/>
    <w:link w:val="BalloonText"/>
    <w:uiPriority w:val="99"/>
    <w:semiHidden/>
    <w:rsid w:val="00A86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7565">
      <w:bodyDiv w:val="1"/>
      <w:marLeft w:val="0"/>
      <w:marRight w:val="0"/>
      <w:marTop w:val="0"/>
      <w:marBottom w:val="0"/>
      <w:divBdr>
        <w:top w:val="none" w:sz="0" w:space="0" w:color="auto"/>
        <w:left w:val="none" w:sz="0" w:space="0" w:color="auto"/>
        <w:bottom w:val="none" w:sz="0" w:space="0" w:color="auto"/>
        <w:right w:val="none" w:sz="0" w:space="0" w:color="auto"/>
      </w:divBdr>
    </w:div>
    <w:div w:id="15336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Management Services</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Suzetta Furlong</dc:creator>
  <cp:lastModifiedBy>Suzetta Furlong</cp:lastModifiedBy>
  <cp:revision>4</cp:revision>
  <dcterms:created xsi:type="dcterms:W3CDTF">2013-08-19T20:14:00Z</dcterms:created>
  <dcterms:modified xsi:type="dcterms:W3CDTF">2013-09-03T19:11:00Z</dcterms:modified>
</cp:coreProperties>
</file>