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B4572A" w:rsidRPr="00C351B7" w:rsidTr="0084569F">
        <w:trPr>
          <w:tblCellSpacing w:w="15" w:type="dxa"/>
        </w:trPr>
        <w:tc>
          <w:tcPr>
            <w:tcW w:w="4945" w:type="pct"/>
            <w:vAlign w:val="bottom"/>
            <w:hideMark/>
          </w:tcPr>
          <w:p w:rsidR="00B4572A" w:rsidRPr="00C351B7" w:rsidRDefault="00B4572A"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8337</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025</w:t>
            </w:r>
            <w:r w:rsidRPr="00C351B7">
              <w:rPr>
                <w:rFonts w:ascii="Calibri" w:hAnsi="Calibri"/>
                <w:sz w:val="24"/>
                <w:szCs w:val="24"/>
              </w:rPr>
              <w:t xml:space="preserve"> </w:t>
            </w:r>
          </w:p>
        </w:tc>
      </w:tr>
    </w:tbl>
    <w:p w:rsidR="00B4572A" w:rsidRPr="00C351B7" w:rsidRDefault="00B4572A" w:rsidP="00B4572A">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B4572A" w:rsidRPr="00C351B7" w:rsidRDefault="00B4572A" w:rsidP="00B4572A">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REVENUE INVESTIGATOR - CRIMINAL ENFORCEMENT</w:t>
      </w:r>
      <w:r w:rsidRPr="00C351B7">
        <w:rPr>
          <w:rFonts w:ascii="Calibri" w:hAnsi="Calibri"/>
          <w:sz w:val="24"/>
          <w:szCs w:val="24"/>
        </w:rPr>
        <w:t xml:space="preserve">   </w:t>
      </w:r>
    </w:p>
    <w:p w:rsidR="00B4572A" w:rsidRPr="00C351B7" w:rsidRDefault="00B4572A" w:rsidP="00B4572A">
      <w:pPr>
        <w:rPr>
          <w:rFonts w:ascii="Calibri" w:hAnsi="Calibri"/>
          <w:b/>
          <w:sz w:val="24"/>
          <w:szCs w:val="24"/>
        </w:rPr>
      </w:pPr>
      <w:r w:rsidRPr="00C351B7">
        <w:rPr>
          <w:rFonts w:ascii="Calibri" w:hAnsi="Calibri"/>
          <w:b/>
          <w:sz w:val="24"/>
          <w:szCs w:val="24"/>
        </w:rPr>
        <w:t xml:space="preserve">ALLOCATION FACTOR(S) </w:t>
      </w:r>
    </w:p>
    <w:p w:rsidR="00B4572A" w:rsidRPr="00C351B7" w:rsidRDefault="00B4572A" w:rsidP="00B4572A">
      <w:pPr>
        <w:rPr>
          <w:rFonts w:ascii="Calibri" w:hAnsi="Calibri"/>
          <w:sz w:val="24"/>
          <w:szCs w:val="24"/>
        </w:rPr>
      </w:pPr>
      <w:r w:rsidRPr="00B73333">
        <w:rPr>
          <w:rFonts w:ascii="Calibri" w:hAnsi="Calibri"/>
          <w:noProof/>
          <w:sz w:val="24"/>
          <w:szCs w:val="24"/>
        </w:rPr>
        <w:t>This is work conducting intricate tax fraud investigations for the Department of Revenue in the following areas:  (1) grand jury investigations relative to tax fraud; (2) tracing of tax dollars through multi-national and multi-corporate channels; and (3) criminal investigations relative to tax evasion and/or any other investigations and analysis of records.</w:t>
      </w:r>
    </w:p>
    <w:p w:rsidR="00B4572A" w:rsidRPr="00C351B7" w:rsidRDefault="00B4572A" w:rsidP="00B4572A">
      <w:pPr>
        <w:rPr>
          <w:rFonts w:ascii="Calibri" w:hAnsi="Calibri"/>
          <w:b/>
          <w:sz w:val="24"/>
          <w:szCs w:val="24"/>
        </w:rPr>
      </w:pPr>
      <w:r w:rsidRPr="00C351B7">
        <w:rPr>
          <w:rFonts w:ascii="Calibri" w:hAnsi="Calibri"/>
          <w:b/>
          <w:sz w:val="24"/>
          <w:szCs w:val="24"/>
        </w:rPr>
        <w:t xml:space="preserve">EXAMPLES OF WORK PERFORMED: </w:t>
      </w:r>
    </w:p>
    <w:p w:rsidR="00B4572A" w:rsidRPr="00C351B7" w:rsidRDefault="00B4572A" w:rsidP="00B4572A">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Conducts tax evasion investigations of cases where evidence is hidden in complex organizational structures.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Maintains liaison with local, state and federal law enforcement agencies.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Conducts internal investigations of suspected criminal misconduct on the part of departmental employees.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Reviews complaints from various sources and investigates suspected cases of tax theft, obtaining fraudulent tax credits and fraudulent claims of exemptions.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Prepares detailed affidavits for search warrants and arrest warrants.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Prepares detailed reports of progress and results of investigations.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Conducts surveillance operations for cases under investigation.</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Collects and authenticates evidence for the development of investigative cases.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Conducts interviews of suspects and witnesses, including adverse and hostile witnesses.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Consults with prosecutors and gives testimony in court relating to investigative cases.</w:t>
      </w:r>
    </w:p>
    <w:p w:rsidR="00B4572A" w:rsidRDefault="00B4572A" w:rsidP="00B4572A">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B4572A" w:rsidRPr="00C351B7" w:rsidRDefault="00B4572A" w:rsidP="00B4572A">
      <w:pPr>
        <w:pStyle w:val="ListParagraph"/>
        <w:rPr>
          <w:rFonts w:ascii="Calibri" w:hAnsi="Calibri"/>
          <w:sz w:val="24"/>
          <w:szCs w:val="24"/>
        </w:rPr>
      </w:pPr>
    </w:p>
    <w:p w:rsidR="00B4572A" w:rsidRPr="00C351B7" w:rsidRDefault="00B4572A" w:rsidP="00B4572A">
      <w:pPr>
        <w:rPr>
          <w:rFonts w:ascii="Calibri" w:hAnsi="Calibri"/>
          <w:b/>
          <w:sz w:val="24"/>
          <w:szCs w:val="24"/>
        </w:rPr>
      </w:pPr>
      <w:r w:rsidRPr="00C351B7">
        <w:rPr>
          <w:rFonts w:ascii="Calibri" w:hAnsi="Calibri"/>
          <w:b/>
          <w:sz w:val="24"/>
          <w:szCs w:val="24"/>
        </w:rPr>
        <w:t xml:space="preserve">KNOWLEDGE, SKILLS AND ABILITIES: </w:t>
      </w:r>
    </w:p>
    <w:p w:rsidR="00B4572A" w:rsidRPr="00C351B7" w:rsidRDefault="00B4572A" w:rsidP="00B4572A">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lastRenderedPageBreak/>
        <w:t>Knowledge of the international banking system and money tracing techniques.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Knowledge of indirect methods of accounting and ability to reconstruct taxable income indirectly.</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Knowledge of organized criminal activity and its relationship to legitimate businesses.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Knowledge of money laundering techniques and practices.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Knowledge of the rules of evidence.</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Knowledge of court procedures and requirements.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conduct fact-finding interviews and take statements.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collect and analyze evidence.</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use deductive reasoning.</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plan, organize and coordinate work assignments.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analyze information and determine its validity.</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conduct surveillance activities.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write accurate investigative reports.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make independent decisions.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conduct thorough investigations.</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maintain strict confidentiality.</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Ability to communicate effectively.</w:t>
      </w:r>
    </w:p>
    <w:p w:rsidR="00B4572A" w:rsidRDefault="00B4572A" w:rsidP="00B4572A">
      <w:pPr>
        <w:pStyle w:val="ListParagraph"/>
        <w:numPr>
          <w:ilvl w:val="0"/>
          <w:numId w:val="1"/>
        </w:numPr>
        <w:rPr>
          <w:rFonts w:ascii="Calibri" w:hAnsi="Calibri"/>
          <w:sz w:val="24"/>
          <w:szCs w:val="24"/>
        </w:rPr>
      </w:pPr>
      <w:r w:rsidRPr="00B73333">
        <w:rPr>
          <w:rFonts w:ascii="Calibri" w:hAnsi="Calibri"/>
          <w:noProof/>
          <w:sz w:val="24"/>
          <w:szCs w:val="24"/>
        </w:rPr>
        <w:t>Ability to establish and maintain effective working relationships with others.</w:t>
      </w:r>
    </w:p>
    <w:p w:rsidR="00B4572A" w:rsidRDefault="00B4572A" w:rsidP="00B4572A">
      <w:pPr>
        <w:pStyle w:val="ListParagraph"/>
        <w:rPr>
          <w:rFonts w:ascii="Calibri" w:hAnsi="Calibri"/>
          <w:sz w:val="24"/>
          <w:szCs w:val="24"/>
        </w:rPr>
      </w:pPr>
    </w:p>
    <w:p w:rsidR="00B4572A" w:rsidRPr="00C351B7" w:rsidRDefault="00B4572A" w:rsidP="00B4572A">
      <w:pPr>
        <w:rPr>
          <w:rFonts w:ascii="Calibri" w:hAnsi="Calibri"/>
          <w:b/>
          <w:sz w:val="24"/>
          <w:szCs w:val="24"/>
        </w:rPr>
      </w:pPr>
      <w:r w:rsidRPr="00C351B7">
        <w:rPr>
          <w:rFonts w:ascii="Calibri" w:hAnsi="Calibri"/>
          <w:b/>
          <w:sz w:val="24"/>
          <w:szCs w:val="24"/>
        </w:rPr>
        <w:t xml:space="preserve">MINIMUM QUALIFICATIONS </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 bachelor's degree from an accredited college or university with major course of study in accounting, finance, economics, business administration or criminal justice and three years of professional experience in securities, accounting or financial examining or conducting investigations of economic crime in a regulatory/criminal justice agency; or</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A master's degree from an accredited college or university with major course of study in accounting, finance, economics, business administration or criminal justice and two years of professional experience as described above; or</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Possession of a Certified Public Accountant (C.P.A.) certificate and two years of professional experience as described above; or</w:t>
      </w:r>
    </w:p>
    <w:p w:rsidR="00B4572A" w:rsidRPr="00B73333" w:rsidRDefault="00B4572A" w:rsidP="00B4572A">
      <w:pPr>
        <w:pStyle w:val="ListParagraph"/>
        <w:numPr>
          <w:ilvl w:val="0"/>
          <w:numId w:val="1"/>
        </w:numPr>
        <w:rPr>
          <w:rFonts w:ascii="Calibri" w:hAnsi="Calibri"/>
          <w:noProof/>
          <w:sz w:val="24"/>
          <w:szCs w:val="24"/>
        </w:rPr>
      </w:pPr>
      <w:r w:rsidRPr="00B73333">
        <w:rPr>
          <w:rFonts w:ascii="Calibri" w:hAnsi="Calibri"/>
          <w:noProof/>
          <w:sz w:val="24"/>
          <w:szCs w:val="24"/>
        </w:rPr>
        <w:t>Graduation from a school of law and two years of professional experience as described above.</w:t>
      </w:r>
    </w:p>
    <w:p w:rsidR="00B4572A" w:rsidRDefault="00B4572A" w:rsidP="00B4572A">
      <w:pPr>
        <w:pStyle w:val="ListParagraph"/>
        <w:numPr>
          <w:ilvl w:val="0"/>
          <w:numId w:val="1"/>
        </w:numPr>
        <w:rPr>
          <w:rFonts w:ascii="Calibri" w:hAnsi="Calibri"/>
          <w:sz w:val="24"/>
          <w:szCs w:val="24"/>
        </w:rPr>
      </w:pPr>
      <w:r w:rsidRPr="00B73333">
        <w:rPr>
          <w:rFonts w:ascii="Calibri" w:hAnsi="Calibri"/>
          <w:noProof/>
          <w:sz w:val="24"/>
          <w:szCs w:val="24"/>
        </w:rPr>
        <w:t>Professional or nonprofessional experience as described above can substitute on a year-for-year basis for the required college education.</w:t>
      </w:r>
    </w:p>
    <w:p w:rsidR="00B4572A" w:rsidRPr="00C351B7" w:rsidRDefault="00B4572A" w:rsidP="00B4572A">
      <w:pPr>
        <w:pStyle w:val="ListParagraph"/>
        <w:rPr>
          <w:rFonts w:ascii="Calibri" w:hAnsi="Calibri"/>
          <w:sz w:val="24"/>
          <w:szCs w:val="24"/>
        </w:rPr>
      </w:pPr>
    </w:p>
    <w:p w:rsidR="00B4572A" w:rsidRPr="00C351B7" w:rsidRDefault="00B4572A" w:rsidP="00B4572A">
      <w:pPr>
        <w:rPr>
          <w:rFonts w:ascii="Calibri" w:hAnsi="Calibri"/>
          <w:b/>
          <w:sz w:val="24"/>
          <w:szCs w:val="24"/>
        </w:rPr>
      </w:pPr>
      <w:r w:rsidRPr="00C351B7">
        <w:rPr>
          <w:rFonts w:ascii="Calibri" w:hAnsi="Calibri"/>
          <w:b/>
          <w:sz w:val="24"/>
          <w:szCs w:val="24"/>
        </w:rPr>
        <w:t xml:space="preserve">EFFECTIVE: </w:t>
      </w:r>
    </w:p>
    <w:p w:rsidR="00B4572A" w:rsidRPr="00C351B7" w:rsidRDefault="00B4572A" w:rsidP="00B4572A">
      <w:pPr>
        <w:rPr>
          <w:rFonts w:ascii="Calibri" w:hAnsi="Calibri"/>
          <w:sz w:val="24"/>
          <w:szCs w:val="24"/>
        </w:rPr>
      </w:pPr>
      <w:r w:rsidRPr="00B73333">
        <w:rPr>
          <w:rFonts w:ascii="Calibri" w:hAnsi="Calibri"/>
          <w:noProof/>
          <w:sz w:val="24"/>
          <w:szCs w:val="24"/>
        </w:rPr>
        <w:t>1/29/1988</w:t>
      </w:r>
    </w:p>
    <w:p w:rsidR="00B4572A" w:rsidRPr="00C351B7" w:rsidRDefault="00B4572A" w:rsidP="00B4572A">
      <w:pPr>
        <w:rPr>
          <w:rFonts w:ascii="Calibri" w:hAnsi="Calibri"/>
          <w:b/>
          <w:sz w:val="24"/>
          <w:szCs w:val="24"/>
        </w:rPr>
      </w:pPr>
      <w:r w:rsidRPr="00C351B7">
        <w:rPr>
          <w:rFonts w:ascii="Calibri" w:hAnsi="Calibri"/>
          <w:b/>
          <w:sz w:val="24"/>
          <w:szCs w:val="24"/>
        </w:rPr>
        <w:t xml:space="preserve">HISTORY: </w:t>
      </w:r>
    </w:p>
    <w:p w:rsidR="00B4572A" w:rsidRDefault="00B4572A" w:rsidP="00B4572A">
      <w:pPr>
        <w:rPr>
          <w:rFonts w:ascii="Calibri" w:hAnsi="Calibri"/>
          <w:sz w:val="24"/>
          <w:szCs w:val="24"/>
        </w:rPr>
        <w:sectPr w:rsidR="00B4572A" w:rsidSect="00D74716">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p>
    <w:p w:rsidR="00091BBB" w:rsidRDefault="00B4572A"/>
    <w:sectPr w:rsidR="00091BBB" w:rsidSect="00B4572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16" w:rsidRPr="0018437C" w:rsidRDefault="00B4572A">
    <w:pPr>
      <w:pStyle w:val="Footer"/>
      <w:rPr>
        <w:color w:val="FFFFFF" w:themeColor="background1"/>
        <w:sz w:val="10"/>
        <w:szCs w:val="10"/>
      </w:rPr>
    </w:pPr>
    <w:r w:rsidRPr="00B73333">
      <w:rPr>
        <w:noProof/>
        <w:color w:val="FFFFFF" w:themeColor="background1"/>
        <w:sz w:val="10"/>
        <w:szCs w:val="10"/>
      </w:rPr>
      <w:t>8337-REVENUE INVESTIGATOR-CRIMINAL ENFORCEMENT-CS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16" w:rsidRDefault="00B4572A"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D74716" w:rsidTr="00234FC1">
      <w:trPr>
        <w:jc w:val="center"/>
      </w:trPr>
      <w:tc>
        <w:tcPr>
          <w:tcW w:w="5493" w:type="dxa"/>
        </w:tcPr>
        <w:p w:rsidR="00D74716" w:rsidRDefault="00B4572A">
          <w:r>
            <w:rPr>
              <w:noProof/>
            </w:rPr>
            <w:drawing>
              <wp:inline distT="0" distB="0" distL="0" distR="0" wp14:anchorId="22D55C0D" wp14:editId="6E391EB5">
                <wp:extent cx="952500" cy="942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D74716" w:rsidRDefault="00B4572A"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D74716" w:rsidRPr="00F41B06" w:rsidRDefault="00B4572A" w:rsidP="00E96469">
          <w:pPr>
            <w:pStyle w:val="ContactInformation"/>
            <w:rPr>
              <w:b/>
            </w:rPr>
          </w:pPr>
          <w:r>
            <w:rPr>
              <w:rFonts w:ascii="Century Gothic" w:hAnsi="Century Gothic"/>
              <w:b/>
              <w:color w:val="7F7F7F" w:themeColor="text1" w:themeTint="80"/>
            </w:rPr>
            <w:t>For Reference Only</w:t>
          </w:r>
        </w:p>
      </w:tc>
    </w:tr>
    <w:tr w:rsidR="00D74716" w:rsidTr="00234FC1">
      <w:trPr>
        <w:jc w:val="center"/>
      </w:trPr>
      <w:tc>
        <w:tcPr>
          <w:tcW w:w="5493" w:type="dxa"/>
          <w:tcBorders>
            <w:bottom w:val="single" w:sz="4" w:space="0" w:color="auto"/>
          </w:tcBorders>
        </w:tcPr>
        <w:p w:rsidR="00D74716" w:rsidRDefault="00B4572A">
          <w:pPr>
            <w:rPr>
              <w:noProof/>
            </w:rPr>
          </w:pPr>
        </w:p>
      </w:tc>
      <w:tc>
        <w:tcPr>
          <w:tcW w:w="4565" w:type="dxa"/>
          <w:tcBorders>
            <w:bottom w:val="single" w:sz="4" w:space="0" w:color="auto"/>
          </w:tcBorders>
        </w:tcPr>
        <w:p w:rsidR="00D74716" w:rsidRDefault="00B4572A" w:rsidP="007A16E9">
          <w:pPr>
            <w:pStyle w:val="ContactInformation"/>
          </w:pPr>
        </w:p>
      </w:tc>
    </w:tr>
  </w:tbl>
  <w:p w:rsidR="00D74716" w:rsidRDefault="00B457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2A"/>
    <w:rsid w:val="00131DE7"/>
    <w:rsid w:val="005F7F8F"/>
    <w:rsid w:val="006D1893"/>
    <w:rsid w:val="00B4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BB6DF-96B2-4296-AB15-17596E48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572A"/>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B4572A"/>
    <w:rPr>
      <w:rFonts w:eastAsiaTheme="minorEastAsia"/>
      <w:color w:val="404040" w:themeColor="text1" w:themeTint="BF"/>
      <w:sz w:val="20"/>
      <w:szCs w:val="24"/>
    </w:rPr>
  </w:style>
  <w:style w:type="paragraph" w:customStyle="1" w:styleId="ContactInformation">
    <w:name w:val="Contact Information"/>
    <w:basedOn w:val="Normal"/>
    <w:rsid w:val="00B4572A"/>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B4572A"/>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B4572A"/>
    <w:rPr>
      <w:rFonts w:eastAsiaTheme="minorEastAsia"/>
      <w:color w:val="404040" w:themeColor="text1" w:themeTint="BF"/>
      <w:sz w:val="19"/>
    </w:rPr>
  </w:style>
  <w:style w:type="paragraph" w:styleId="ListParagraph">
    <w:name w:val="List Paragraph"/>
    <w:basedOn w:val="Normal"/>
    <w:qFormat/>
    <w:rsid w:val="00B4572A"/>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2014-03-26T16:29:00Z</dcterms:created>
  <dcterms:modified xsi:type="dcterms:W3CDTF">2014-03-26T16:29:00Z</dcterms:modified>
</cp:coreProperties>
</file>